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2D0EE0A4">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0772A6A8" w:rsidR="00F445B1" w:rsidRPr="00F95BC9" w:rsidRDefault="0CDB9458" w:rsidP="004A6D2F">
            <w:pPr>
              <w:rPr>
                <w:rStyle w:val="Firstpagetablebold"/>
              </w:rPr>
            </w:pPr>
            <w:r w:rsidRPr="2D0EE0A4">
              <w:rPr>
                <w:rStyle w:val="Firstpagetablebold"/>
              </w:rPr>
              <w:t>Council</w:t>
            </w:r>
          </w:p>
        </w:tc>
      </w:tr>
      <w:tr w:rsidR="00CE544A" w:rsidRPr="00975B07" w14:paraId="705FA4FB" w14:textId="77777777" w:rsidTr="2D0EE0A4">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71CC292D" w:rsidR="00F445B1" w:rsidRPr="009E30E2" w:rsidRDefault="79BCDFFA" w:rsidP="7FA0A472">
            <w:pPr>
              <w:rPr>
                <w:rStyle w:val="Firstpagetablebold"/>
                <w:rFonts w:cs="Arial"/>
                <w:b w:val="0"/>
                <w:color w:val="auto"/>
              </w:rPr>
            </w:pPr>
            <w:r w:rsidRPr="2D0EE0A4">
              <w:rPr>
                <w:rStyle w:val="Firstpagetablebold"/>
                <w:rFonts w:cs="Arial"/>
                <w:b w:val="0"/>
                <w:color w:val="auto"/>
              </w:rPr>
              <w:t xml:space="preserve">14 </w:t>
            </w:r>
            <w:r w:rsidR="331BE041" w:rsidRPr="2D0EE0A4">
              <w:rPr>
                <w:rStyle w:val="Firstpagetablebold"/>
                <w:rFonts w:cs="Arial"/>
                <w:b w:val="0"/>
                <w:color w:val="auto"/>
              </w:rPr>
              <w:t xml:space="preserve">July </w:t>
            </w:r>
            <w:r w:rsidR="0949CE08" w:rsidRPr="2D0EE0A4">
              <w:rPr>
                <w:rStyle w:val="Firstpagetablebold"/>
                <w:rFonts w:cs="Arial"/>
                <w:b w:val="0"/>
                <w:color w:val="auto"/>
              </w:rPr>
              <w:t>2025</w:t>
            </w:r>
          </w:p>
        </w:tc>
      </w:tr>
      <w:tr w:rsidR="00CE544A" w:rsidRPr="00975B07" w14:paraId="7AED9E48" w14:textId="77777777" w:rsidTr="2D0EE0A4">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12633FFF" w:rsidR="00F445B1" w:rsidRPr="009E30E2" w:rsidRDefault="007D7667" w:rsidP="7FA0A472">
            <w:pPr>
              <w:rPr>
                <w:rStyle w:val="Firstpagetablebold"/>
                <w:rFonts w:cs="Arial"/>
                <w:b w:val="0"/>
                <w:color w:val="auto"/>
              </w:rPr>
            </w:pPr>
            <w:r>
              <w:rPr>
                <w:rStyle w:val="Firstpagetablebold"/>
                <w:rFonts w:cs="Arial"/>
                <w:b w:val="0"/>
                <w:color w:val="auto"/>
              </w:rPr>
              <w:t>Gail Malkin, Head of People</w:t>
            </w:r>
          </w:p>
        </w:tc>
      </w:tr>
      <w:tr w:rsidR="00CE544A" w:rsidRPr="00975B07" w14:paraId="312CDF01" w14:textId="77777777" w:rsidTr="2D0EE0A4">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4360393D" w:rsidR="00F445B1" w:rsidRPr="009E30E2" w:rsidRDefault="35643278" w:rsidP="7FA0A472">
            <w:pPr>
              <w:rPr>
                <w:rStyle w:val="Firstpagetablebold"/>
                <w:rFonts w:cs="Arial"/>
                <w:b w:val="0"/>
                <w:color w:val="auto"/>
              </w:rPr>
            </w:pPr>
            <w:r w:rsidRPr="41D43DF1">
              <w:rPr>
                <w:rStyle w:val="Firstpagetablebold"/>
                <w:rFonts w:cs="Arial"/>
                <w:b w:val="0"/>
                <w:color w:val="auto"/>
              </w:rPr>
              <w:t>Positive</w:t>
            </w:r>
            <w:r w:rsidR="435A923F" w:rsidRPr="41D43DF1">
              <w:rPr>
                <w:rStyle w:val="Firstpagetablebold"/>
                <w:rFonts w:cs="Arial"/>
                <w:b w:val="0"/>
                <w:color w:val="auto"/>
              </w:rPr>
              <w:t xml:space="preserve"> Action Policy </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5AAEBE06">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5AAEBE06">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35D4520C" w:rsidR="00D5547E" w:rsidRPr="009E30E2" w:rsidRDefault="788AE8D8" w:rsidP="41D43DF1">
            <w:pPr>
              <w:rPr>
                <w:rFonts w:eastAsia="Arial" w:cs="Arial"/>
              </w:rPr>
            </w:pPr>
            <w:r w:rsidRPr="5AAEBE06">
              <w:rPr>
                <w:rFonts w:eastAsia="Arial" w:cs="Arial"/>
              </w:rPr>
              <w:t xml:space="preserve">To agree to </w:t>
            </w:r>
            <w:r w:rsidR="2AF76363" w:rsidRPr="5AAEBE06">
              <w:rPr>
                <w:rFonts w:eastAsia="Arial" w:cs="Arial"/>
              </w:rPr>
              <w:t>the proposed</w:t>
            </w:r>
            <w:r w:rsidRPr="5AAEBE06">
              <w:rPr>
                <w:rFonts w:eastAsia="Arial" w:cs="Arial"/>
              </w:rPr>
              <w:t xml:space="preserve"> Positive Action Policy</w:t>
            </w:r>
          </w:p>
        </w:tc>
      </w:tr>
      <w:tr w:rsidR="00025250" w14:paraId="43BD728D" w14:textId="77777777" w:rsidTr="5AAEBE06">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2AA67D87" w:rsidR="00025250" w:rsidRPr="009E30E2" w:rsidRDefault="2C71A955" w:rsidP="41D43DF1">
            <w:pPr>
              <w:rPr>
                <w:rFonts w:cs="Arial"/>
                <w:color w:val="auto"/>
              </w:rPr>
            </w:pPr>
            <w:r w:rsidRPr="41D43DF1">
              <w:rPr>
                <w:rFonts w:cs="Arial"/>
                <w:color w:val="auto"/>
              </w:rPr>
              <w:t>No</w:t>
            </w:r>
          </w:p>
        </w:tc>
      </w:tr>
      <w:tr w:rsidR="00025250" w14:paraId="10A3E36F" w14:textId="77777777" w:rsidTr="5AAEBE06">
        <w:tc>
          <w:tcPr>
            <w:tcW w:w="2438"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2BBBA0B8" w:rsidR="00025250" w:rsidRPr="009E30E2" w:rsidRDefault="2C71A955" w:rsidP="00025250">
            <w:pPr>
              <w:rPr>
                <w:color w:val="auto"/>
              </w:rPr>
            </w:pPr>
            <w:r w:rsidRPr="5AAEBE06">
              <w:rPr>
                <w:color w:val="auto"/>
              </w:rPr>
              <w:t xml:space="preserve">Councillor </w:t>
            </w:r>
            <w:r w:rsidR="77912D87" w:rsidRPr="5AAEBE06">
              <w:rPr>
                <w:color w:val="auto"/>
              </w:rPr>
              <w:t>Nigel Chapman</w:t>
            </w:r>
            <w:r w:rsidR="00C20F3A" w:rsidRPr="5AAEBE06">
              <w:rPr>
                <w:color w:val="auto"/>
              </w:rPr>
              <w:t xml:space="preserve">, </w:t>
            </w:r>
            <w:r w:rsidR="00AA53FD" w:rsidRPr="5AAEBE06">
              <w:rPr>
                <w:rFonts w:eastAsia="Arial" w:cs="Arial"/>
                <w:color w:val="000000" w:themeColor="text1"/>
              </w:rPr>
              <w:t>Cabinet Member for Focused Services and Council Companies</w:t>
            </w:r>
          </w:p>
        </w:tc>
      </w:tr>
      <w:tr w:rsidR="00025250" w14:paraId="7B700325" w14:textId="77777777" w:rsidTr="5AAEBE06">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4ABF0236" w:rsidR="00025250" w:rsidRPr="009E30E2" w:rsidRDefault="726CA27D" w:rsidP="00025250">
            <w:pPr>
              <w:rPr>
                <w:color w:val="auto"/>
              </w:rPr>
            </w:pPr>
            <w:r w:rsidRPr="41D43DF1">
              <w:rPr>
                <w:color w:val="auto"/>
              </w:rPr>
              <w:t xml:space="preserve">Well Run Council </w:t>
            </w:r>
          </w:p>
        </w:tc>
      </w:tr>
      <w:tr w:rsidR="00025250" w14:paraId="63186D5F" w14:textId="77777777" w:rsidTr="5AAEBE06">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36F9806F" w:rsidR="00025250" w:rsidRPr="009E30E2" w:rsidRDefault="73269660" w:rsidP="00025250">
            <w:pPr>
              <w:rPr>
                <w:color w:val="auto"/>
              </w:rPr>
            </w:pPr>
            <w:r w:rsidRPr="5AAEBE06">
              <w:rPr>
                <w:color w:val="auto"/>
              </w:rPr>
              <w:t>R</w:t>
            </w:r>
            <w:r w:rsidR="73DB54A1" w:rsidRPr="5AAEBE06">
              <w:rPr>
                <w:color w:val="auto"/>
              </w:rPr>
              <w:t>ecruitment</w:t>
            </w:r>
            <w:r w:rsidR="1D721377" w:rsidRPr="5AAEBE06">
              <w:rPr>
                <w:color w:val="auto"/>
              </w:rPr>
              <w:t xml:space="preserve"> Policy</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5AAEBE06">
        <w:trPr>
          <w:trHeight w:val="413"/>
        </w:trPr>
        <w:tc>
          <w:tcPr>
            <w:tcW w:w="8845" w:type="dxa"/>
            <w:gridSpan w:val="2"/>
            <w:tcBorders>
              <w:bottom w:val="single" w:sz="8" w:space="0" w:color="000000" w:themeColor="text1"/>
            </w:tcBorders>
          </w:tcPr>
          <w:p w14:paraId="18FB24CC" w14:textId="65644801"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That C</w:t>
            </w:r>
            <w:r w:rsidR="007D7667">
              <w:rPr>
                <w:rStyle w:val="Firstpagetablebold"/>
                <w:b w:val="0"/>
              </w:rPr>
              <w:t xml:space="preserve">ouncil </w:t>
            </w:r>
            <w:r w:rsidRPr="62B73EE3">
              <w:rPr>
                <w:rStyle w:val="Firstpagetablebold"/>
                <w:b w:val="0"/>
              </w:rPr>
              <w:t>resolves to:</w:t>
            </w:r>
          </w:p>
        </w:tc>
      </w:tr>
      <w:tr w:rsidR="00025250" w:rsidRPr="00975B07" w14:paraId="128A7C0D" w14:textId="77777777" w:rsidTr="007D7667">
        <w:trPr>
          <w:trHeight w:val="283"/>
        </w:trPr>
        <w:tc>
          <w:tcPr>
            <w:tcW w:w="426" w:type="dxa"/>
            <w:tcBorders>
              <w:top w:val="single" w:sz="8" w:space="0" w:color="000000" w:themeColor="text1"/>
              <w:left w:val="single" w:sz="8" w:space="0" w:color="000000" w:themeColor="text1"/>
              <w:bottom w:val="single" w:sz="8" w:space="0" w:color="auto"/>
              <w:right w:val="nil"/>
            </w:tcBorders>
          </w:tcPr>
          <w:p w14:paraId="4AAB6C58" w14:textId="77777777" w:rsidR="00025250" w:rsidRPr="00975B07" w:rsidRDefault="00025250" w:rsidP="00FD0B08">
            <w:r w:rsidRPr="00975B07">
              <w:t>1.</w:t>
            </w:r>
          </w:p>
        </w:tc>
        <w:tc>
          <w:tcPr>
            <w:tcW w:w="8419" w:type="dxa"/>
            <w:tcBorders>
              <w:top w:val="single" w:sz="8" w:space="0" w:color="000000" w:themeColor="text1"/>
              <w:left w:val="nil"/>
              <w:bottom w:val="single" w:sz="8" w:space="0" w:color="auto"/>
              <w:right w:val="single" w:sz="8" w:space="0" w:color="000000" w:themeColor="text1"/>
            </w:tcBorders>
            <w:shd w:val="clear" w:color="auto" w:fill="auto"/>
          </w:tcPr>
          <w:p w14:paraId="2D683A1F" w14:textId="17B84EF2" w:rsidR="00025250" w:rsidRPr="001356F1" w:rsidRDefault="739C2F0C" w:rsidP="00FD0B08">
            <w:r w:rsidRPr="5AAEBE06">
              <w:rPr>
                <w:rStyle w:val="Firstpagetablebold"/>
              </w:rPr>
              <w:t>Approve</w:t>
            </w:r>
            <w:r w:rsidR="0006095C" w:rsidRPr="5AAEBE06">
              <w:rPr>
                <w:rStyle w:val="Firstpagetablebold"/>
              </w:rPr>
              <w:t xml:space="preserve"> </w:t>
            </w:r>
            <w:r w:rsidR="0006095C" w:rsidRPr="5AAEBE06">
              <w:rPr>
                <w:rStyle w:val="Firstpagetablebold"/>
                <w:b w:val="0"/>
              </w:rPr>
              <w:t>th</w:t>
            </w:r>
            <w:r w:rsidR="007D7667">
              <w:rPr>
                <w:rStyle w:val="Firstpagetablebold"/>
                <w:b w:val="0"/>
              </w:rPr>
              <w:t xml:space="preserve">e </w:t>
            </w:r>
            <w:r w:rsidR="007D7667" w:rsidRPr="5AAEBE06">
              <w:rPr>
                <w:rFonts w:eastAsia="Arial" w:cs="Arial"/>
              </w:rPr>
              <w:t>Positive Action Policy</w:t>
            </w:r>
            <w:r w:rsidR="007D7667">
              <w:rPr>
                <w:rFonts w:eastAsia="Arial" w:cs="Arial"/>
              </w:rPr>
              <w:t xml:space="preserve"> for</w:t>
            </w:r>
            <w:r w:rsidR="5D979AAE">
              <w:t xml:space="preserve"> publication </w:t>
            </w:r>
            <w:r w:rsidR="379DA924">
              <w:t>and</w:t>
            </w:r>
            <w:r w:rsidR="5D979AAE">
              <w:t xml:space="preserve"> use.</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25250" w:rsidRPr="003E4C33" w14:paraId="67F8F7AF" w14:textId="77777777" w:rsidTr="41D43DF1">
        <w:trPr>
          <w:trHeight w:val="300"/>
        </w:trPr>
        <w:tc>
          <w:tcPr>
            <w:tcW w:w="8845" w:type="dxa"/>
            <w:gridSpan w:val="2"/>
            <w:tcBorders>
              <w:bottom w:val="single" w:sz="8" w:space="0" w:color="000000" w:themeColor="text1"/>
            </w:tcBorders>
            <w:hideMark/>
          </w:tcPr>
          <w:p w14:paraId="59493166" w14:textId="77777777" w:rsidR="00025250" w:rsidRPr="003E4C33" w:rsidRDefault="00025250" w:rsidP="00FD0B08">
            <w:pPr>
              <w:jc w:val="center"/>
              <w:rPr>
                <w:rStyle w:val="Firstpagetablebold"/>
                <w:rFonts w:cs="Arial"/>
              </w:rPr>
            </w:pPr>
            <w:r w:rsidRPr="003E4C33">
              <w:rPr>
                <w:rStyle w:val="Firstpagetablebold"/>
                <w:rFonts w:cs="Arial"/>
              </w:rPr>
              <w:t xml:space="preserve">Information Exempt From Publication </w:t>
            </w:r>
          </w:p>
        </w:tc>
      </w:tr>
      <w:tr w:rsidR="00025250" w:rsidRPr="003E4C33" w14:paraId="40623F28" w14:textId="77777777" w:rsidTr="41D43D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nil"/>
              <w:right w:val="nil"/>
            </w:tcBorders>
          </w:tcPr>
          <w:p w14:paraId="5542E86A" w14:textId="495179C0" w:rsidR="00025250" w:rsidRPr="009E30E2" w:rsidRDefault="00025250" w:rsidP="41D43DF1">
            <w:pPr>
              <w:rPr>
                <w:rStyle w:val="Firstpagetablebold"/>
                <w:rFonts w:cs="Arial"/>
                <w:color w:val="auto"/>
              </w:rPr>
            </w:pPr>
          </w:p>
        </w:tc>
        <w:tc>
          <w:tcPr>
            <w:tcW w:w="6407" w:type="dxa"/>
            <w:vMerge w:val="restart"/>
            <w:tcBorders>
              <w:top w:val="nil"/>
              <w:left w:val="nil"/>
              <w:bottom w:val="single" w:sz="8" w:space="0" w:color="000000" w:themeColor="text1"/>
              <w:right w:val="single" w:sz="8" w:space="0" w:color="000000" w:themeColor="text1"/>
            </w:tcBorders>
          </w:tcPr>
          <w:p w14:paraId="5064A6DD" w14:textId="37E2D7A6" w:rsidR="00025250" w:rsidRPr="003E4C33" w:rsidRDefault="4FC83E88" w:rsidP="7FA0A472">
            <w:pPr>
              <w:rPr>
                <w:rFonts w:cs="Arial"/>
                <w:color w:val="000000" w:themeColor="text1"/>
              </w:rPr>
            </w:pPr>
            <w:r w:rsidRPr="41D43DF1">
              <w:rPr>
                <w:rFonts w:cs="Arial"/>
                <w:color w:val="000000" w:themeColor="text1"/>
              </w:rPr>
              <w:t>N/A</w:t>
            </w:r>
          </w:p>
        </w:tc>
      </w:tr>
      <w:tr w:rsidR="00025250" w:rsidRPr="003E4C33" w14:paraId="7888775D" w14:textId="77777777" w:rsidTr="007D7667">
        <w:trPr>
          <w:trHeight w:val="300"/>
        </w:trPr>
        <w:tc>
          <w:tcPr>
            <w:tcW w:w="2438" w:type="dxa"/>
            <w:tcBorders>
              <w:top w:val="nil"/>
              <w:left w:val="single" w:sz="8" w:space="0" w:color="000000" w:themeColor="text1"/>
              <w:bottom w:val="single" w:sz="4" w:space="0" w:color="auto"/>
              <w:right w:val="nil"/>
            </w:tcBorders>
          </w:tcPr>
          <w:p w14:paraId="141DB754" w14:textId="77777777" w:rsidR="00025250" w:rsidRPr="003E4C33" w:rsidRDefault="00025250" w:rsidP="00FD0B08">
            <w:pPr>
              <w:rPr>
                <w:rStyle w:val="Firstpagetablebold"/>
                <w:rFonts w:cs="Arial"/>
                <w:i/>
                <w:iCs/>
                <w:color w:val="D9D9D9" w:themeColor="background1" w:themeShade="D9"/>
              </w:rPr>
            </w:pPr>
          </w:p>
        </w:tc>
        <w:tc>
          <w:tcPr>
            <w:tcW w:w="6407" w:type="dxa"/>
            <w:vMerge/>
            <w:tcBorders>
              <w:bottom w:val="single" w:sz="8" w:space="0" w:color="auto"/>
            </w:tcBorders>
          </w:tcPr>
          <w:p w14:paraId="530EC42B" w14:textId="77777777" w:rsidR="00025250" w:rsidRPr="003E4C33" w:rsidRDefault="00025250" w:rsidP="00FD0B08">
            <w:pPr>
              <w:rPr>
                <w:rFonts w:cs="Arial"/>
              </w:rPr>
            </w:pP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41D43DF1">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41D43D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FD0B08">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7380F551" w:rsidR="002312EA" w:rsidRPr="009E30E2" w:rsidRDefault="1034518A" w:rsidP="00FD0B08">
            <w:pPr>
              <w:rPr>
                <w:rFonts w:cs="Arial"/>
                <w:color w:val="auto"/>
              </w:rPr>
            </w:pPr>
            <w:r w:rsidRPr="41D43DF1">
              <w:rPr>
                <w:rFonts w:cs="Arial"/>
                <w:color w:val="auto"/>
              </w:rPr>
              <w:t>Positive Action Policy</w:t>
            </w:r>
          </w:p>
        </w:tc>
        <w:tc>
          <w:tcPr>
            <w:tcW w:w="4455" w:type="dxa"/>
            <w:tcBorders>
              <w:top w:val="single" w:sz="4" w:space="0" w:color="auto"/>
              <w:left w:val="single" w:sz="4" w:space="0" w:color="auto"/>
              <w:bottom w:val="single" w:sz="4" w:space="0" w:color="auto"/>
              <w:right w:val="single" w:sz="4" w:space="0" w:color="auto"/>
            </w:tcBorders>
          </w:tcPr>
          <w:p w14:paraId="349B4576" w14:textId="4B52D078" w:rsidR="002312EA" w:rsidRPr="009E30E2" w:rsidRDefault="371FCC3E" w:rsidP="41D43DF1">
            <w:pPr>
              <w:rPr>
                <w:rFonts w:cs="Arial"/>
                <w:color w:val="auto"/>
              </w:rPr>
            </w:pPr>
            <w:r w:rsidRPr="41D43DF1">
              <w:rPr>
                <w:rFonts w:cs="Arial"/>
                <w:color w:val="auto"/>
              </w:rPr>
              <w:t>No</w:t>
            </w:r>
          </w:p>
        </w:tc>
      </w:tr>
      <w:tr w:rsidR="002312EA" w:rsidRPr="003E4C33" w14:paraId="5332D292" w14:textId="77777777" w:rsidTr="41D43DF1">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66389E38" w14:textId="77777777" w:rsidR="002312EA" w:rsidRPr="009E30E2" w:rsidRDefault="002312EA" w:rsidP="00FD0B08">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251AC11B" w14:textId="081FEABD" w:rsidR="002312EA" w:rsidRPr="009E30E2" w:rsidRDefault="79671E36" w:rsidP="00FD0B08">
            <w:pPr>
              <w:rPr>
                <w:rFonts w:cs="Arial"/>
                <w:color w:val="auto"/>
              </w:rPr>
            </w:pPr>
            <w:r w:rsidRPr="41D43DF1">
              <w:rPr>
                <w:rFonts w:cs="Arial"/>
                <w:color w:val="auto"/>
              </w:rPr>
              <w:t xml:space="preserve">Equalities Impact Assessment </w:t>
            </w:r>
          </w:p>
        </w:tc>
        <w:tc>
          <w:tcPr>
            <w:tcW w:w="4455" w:type="dxa"/>
            <w:tcBorders>
              <w:top w:val="single" w:sz="4" w:space="0" w:color="auto"/>
              <w:left w:val="single" w:sz="4" w:space="0" w:color="auto"/>
              <w:bottom w:val="single" w:sz="4" w:space="0" w:color="auto"/>
              <w:right w:val="single" w:sz="8" w:space="0" w:color="000000" w:themeColor="text1"/>
            </w:tcBorders>
          </w:tcPr>
          <w:p w14:paraId="0E6EFED4" w14:textId="1ECF7810" w:rsidR="002312EA" w:rsidRPr="009E30E2" w:rsidRDefault="79671E36" w:rsidP="00FD0B08">
            <w:pPr>
              <w:rPr>
                <w:rFonts w:cs="Arial"/>
                <w:color w:val="auto"/>
              </w:rPr>
            </w:pPr>
            <w:r w:rsidRPr="41D43DF1">
              <w:rPr>
                <w:rFonts w:cs="Arial"/>
                <w:color w:val="auto"/>
              </w:rPr>
              <w:t>No</w:t>
            </w:r>
          </w:p>
        </w:tc>
      </w:tr>
    </w:tbl>
    <w:p w14:paraId="572B1CF3" w14:textId="77777777" w:rsidR="002312EA" w:rsidRDefault="002312EA" w:rsidP="004A6D2F"/>
    <w:p w14:paraId="50E21B3B" w14:textId="3360610D" w:rsidR="0040736F" w:rsidRPr="001356F1" w:rsidRDefault="6DCFFBD0" w:rsidP="5AAEBE06">
      <w:pPr>
        <w:pStyle w:val="Heading1"/>
      </w:pPr>
      <w:r>
        <w:t>Introduction and b</w:t>
      </w:r>
      <w:r w:rsidR="03B4D718">
        <w:t>ackground</w:t>
      </w:r>
      <w:r w:rsidR="58E0668C">
        <w:t xml:space="preserve"> </w:t>
      </w:r>
    </w:p>
    <w:p w14:paraId="4713CC10" w14:textId="3AD2A779" w:rsidR="002312EA" w:rsidRDefault="5758BBD8" w:rsidP="39099C12">
      <w:pPr>
        <w:spacing w:before="240" w:after="240"/>
        <w:rPr>
          <w:rFonts w:eastAsia="Arial" w:cs="Arial"/>
          <w:color w:val="000000" w:themeColor="text1"/>
        </w:rPr>
      </w:pPr>
      <w:r w:rsidRPr="39099C12">
        <w:rPr>
          <w:rFonts w:eastAsia="Arial" w:cs="Arial"/>
          <w:color w:val="000000" w:themeColor="text1"/>
        </w:rPr>
        <w:t>1</w:t>
      </w:r>
      <w:r w:rsidR="2784B419" w:rsidRPr="39099C12">
        <w:rPr>
          <w:rFonts w:eastAsia="Arial" w:cs="Arial"/>
          <w:color w:val="000000" w:themeColor="text1"/>
        </w:rPr>
        <w:t>.</w:t>
      </w:r>
      <w:r w:rsidRPr="39099C12">
        <w:rPr>
          <w:rFonts w:eastAsia="Arial" w:cs="Arial"/>
          <w:color w:val="000000" w:themeColor="text1"/>
        </w:rPr>
        <w:t xml:space="preserve"> </w:t>
      </w:r>
      <w:r w:rsidR="285BE024" w:rsidRPr="39099C12">
        <w:rPr>
          <w:rFonts w:eastAsia="Arial" w:cs="Arial"/>
          <w:color w:val="000000" w:themeColor="text1"/>
        </w:rPr>
        <w:t xml:space="preserve">Oxford City Council is committed to promoting equality, diversity and inclusion within our community and workforce. This Positive Action Policy outlines our commitment to taking proactive steps to address underrepresentation and ensure </w:t>
      </w:r>
      <w:r w:rsidR="00707E7F" w:rsidRPr="39099C12">
        <w:rPr>
          <w:rFonts w:eastAsia="Arial" w:cs="Arial"/>
          <w:color w:val="000000" w:themeColor="text1"/>
        </w:rPr>
        <w:t>diversity</w:t>
      </w:r>
      <w:r w:rsidR="007E367F" w:rsidRPr="39099C12">
        <w:rPr>
          <w:rFonts w:eastAsia="Arial" w:cs="Arial"/>
          <w:color w:val="000000" w:themeColor="text1"/>
        </w:rPr>
        <w:t xml:space="preserve"> in employment</w:t>
      </w:r>
      <w:r w:rsidR="285BE024" w:rsidRPr="39099C12">
        <w:rPr>
          <w:rFonts w:eastAsia="Arial" w:cs="Arial"/>
          <w:color w:val="000000" w:themeColor="text1"/>
        </w:rPr>
        <w:t xml:space="preserve"> opportunities</w:t>
      </w:r>
      <w:r w:rsidR="007E367F" w:rsidRPr="39099C12">
        <w:rPr>
          <w:rFonts w:eastAsia="Arial" w:cs="Arial"/>
          <w:color w:val="000000" w:themeColor="text1"/>
        </w:rPr>
        <w:t>.</w:t>
      </w:r>
      <w:r w:rsidR="4EF0B460" w:rsidRPr="39099C12">
        <w:rPr>
          <w:rFonts w:eastAsia="Arial" w:cs="Arial"/>
          <w:color w:val="000000" w:themeColor="text1"/>
        </w:rPr>
        <w:t xml:space="preserve"> We take positive action to create a fairer work environment </w:t>
      </w:r>
      <w:r w:rsidR="4EF0B460" w:rsidRPr="39099C12">
        <w:rPr>
          <w:rFonts w:eastAsia="Arial" w:cs="Arial"/>
          <w:color w:val="000000" w:themeColor="text1"/>
        </w:rPr>
        <w:lastRenderedPageBreak/>
        <w:t>where everyone has the chance to succeed. We adopt these approaches to create a more diverse workforce that reflects the community we serve.</w:t>
      </w:r>
    </w:p>
    <w:p w14:paraId="1437B16B" w14:textId="088F7887" w:rsidR="00261056" w:rsidRDefault="073BE42E" w:rsidP="5AAEBE06">
      <w:pPr>
        <w:spacing w:before="240" w:after="240"/>
        <w:rPr>
          <w:rFonts w:eastAsia="Arial" w:cs="Arial"/>
          <w:color w:val="000000" w:themeColor="text1"/>
        </w:rPr>
      </w:pPr>
      <w:r w:rsidRPr="5AAEBE06">
        <w:rPr>
          <w:rFonts w:eastAsia="Arial" w:cs="Arial"/>
          <w:color w:val="000000" w:themeColor="text1"/>
        </w:rPr>
        <w:t>2</w:t>
      </w:r>
      <w:r w:rsidR="3D593E76" w:rsidRPr="5AAEBE06">
        <w:rPr>
          <w:rFonts w:eastAsia="Arial" w:cs="Arial"/>
          <w:color w:val="000000" w:themeColor="text1"/>
        </w:rPr>
        <w:t>.</w:t>
      </w:r>
      <w:r w:rsidR="04F9F287" w:rsidRPr="5AAEBE06">
        <w:rPr>
          <w:rFonts w:eastAsia="Arial" w:cs="Arial"/>
          <w:color w:val="000000" w:themeColor="text1"/>
        </w:rPr>
        <w:t xml:space="preserve"> </w:t>
      </w:r>
      <w:r w:rsidR="00261056" w:rsidRPr="5AAEBE06">
        <w:rPr>
          <w:rFonts w:eastAsia="Arial" w:cs="Arial"/>
          <w:color w:val="000000" w:themeColor="text1"/>
        </w:rPr>
        <w:t xml:space="preserve">Our annual workforce equalities report has identified </w:t>
      </w:r>
      <w:r w:rsidR="00704B70" w:rsidRPr="5AAEBE06">
        <w:rPr>
          <w:rFonts w:eastAsia="Arial" w:cs="Arial"/>
          <w:color w:val="000000" w:themeColor="text1"/>
        </w:rPr>
        <w:t xml:space="preserve">underrepresentation of minority ethnic groups </w:t>
      </w:r>
      <w:r w:rsidR="003B490C" w:rsidRPr="5AAEBE06">
        <w:rPr>
          <w:rFonts w:eastAsia="Arial" w:cs="Arial"/>
          <w:color w:val="000000" w:themeColor="text1"/>
        </w:rPr>
        <w:t xml:space="preserve">across most service areas and underrepresentation of minority ethnic groups, women and employees with a disability at senior levels. This policy will help us to </w:t>
      </w:r>
      <w:r w:rsidR="004D78AE" w:rsidRPr="5AAEBE06">
        <w:rPr>
          <w:rFonts w:eastAsia="Arial" w:cs="Arial"/>
          <w:color w:val="000000" w:themeColor="text1"/>
        </w:rPr>
        <w:t>improve the diversity of the organisation at all levels</w:t>
      </w:r>
      <w:r w:rsidR="008460C6" w:rsidRPr="5AAEBE06">
        <w:rPr>
          <w:rFonts w:eastAsia="Arial" w:cs="Arial"/>
          <w:color w:val="000000" w:themeColor="text1"/>
        </w:rPr>
        <w:t xml:space="preserve"> and is part of the current diversity and inclusion action plan.</w:t>
      </w:r>
    </w:p>
    <w:p w14:paraId="1BA1387E" w14:textId="44C88C9B" w:rsidR="002312EA" w:rsidRPr="007E367F" w:rsidRDefault="09659772" w:rsidP="5AAEBE06">
      <w:pPr>
        <w:spacing w:before="240" w:after="240"/>
        <w:rPr>
          <w:rFonts w:eastAsia="Arial" w:cs="Arial"/>
          <w:b/>
          <w:bCs/>
          <w:color w:val="000000" w:themeColor="text1"/>
        </w:rPr>
      </w:pPr>
      <w:r w:rsidRPr="5AAEBE06">
        <w:rPr>
          <w:rFonts w:eastAsia="Arial" w:cs="Arial"/>
          <w:b/>
          <w:bCs/>
          <w:color w:val="000000" w:themeColor="text1"/>
        </w:rPr>
        <w:t>What does this Policy Cover?</w:t>
      </w:r>
    </w:p>
    <w:p w14:paraId="35594641" w14:textId="67006CCC" w:rsidR="002312EA" w:rsidRDefault="07E71C30" w:rsidP="5AAEBE06">
      <w:pPr>
        <w:spacing w:before="240" w:after="240"/>
        <w:rPr>
          <w:rFonts w:eastAsia="Arial" w:cs="Arial"/>
          <w:color w:val="000000" w:themeColor="text1"/>
        </w:rPr>
      </w:pPr>
      <w:r w:rsidRPr="15CEDDE2">
        <w:rPr>
          <w:rFonts w:eastAsia="Arial" w:cs="Arial"/>
          <w:color w:val="000000" w:themeColor="text1"/>
        </w:rPr>
        <w:t>3</w:t>
      </w:r>
      <w:r w:rsidR="52DC93E4" w:rsidRPr="15CEDDE2">
        <w:rPr>
          <w:rFonts w:eastAsia="Arial" w:cs="Arial"/>
          <w:color w:val="000000" w:themeColor="text1"/>
        </w:rPr>
        <w:t>.</w:t>
      </w:r>
      <w:r w:rsidR="5919DB91" w:rsidRPr="15CEDDE2">
        <w:rPr>
          <w:rFonts w:eastAsia="Arial" w:cs="Arial"/>
          <w:color w:val="000000" w:themeColor="text1"/>
        </w:rPr>
        <w:t xml:space="preserve"> </w:t>
      </w:r>
      <w:r w:rsidR="285BE024" w:rsidRPr="15CEDDE2">
        <w:rPr>
          <w:rFonts w:eastAsia="Arial" w:cs="Arial"/>
          <w:color w:val="000000" w:themeColor="text1"/>
        </w:rPr>
        <w:t xml:space="preserve">This policy allows </w:t>
      </w:r>
      <w:r w:rsidR="00BD59E9" w:rsidRPr="15CEDDE2">
        <w:rPr>
          <w:rFonts w:eastAsia="Arial" w:cs="Arial"/>
          <w:color w:val="000000" w:themeColor="text1"/>
        </w:rPr>
        <w:t xml:space="preserve">the Council to take proportionate measures </w:t>
      </w:r>
      <w:r w:rsidR="123D4452" w:rsidRPr="15CEDDE2">
        <w:rPr>
          <w:rFonts w:eastAsia="Arial" w:cs="Arial"/>
          <w:color w:val="000000" w:themeColor="text1"/>
        </w:rPr>
        <w:t>to tackle</w:t>
      </w:r>
      <w:r w:rsidR="002B4E43" w:rsidRPr="15CEDDE2">
        <w:rPr>
          <w:rFonts w:eastAsia="Arial" w:cs="Arial"/>
          <w:color w:val="000000" w:themeColor="text1"/>
        </w:rPr>
        <w:t xml:space="preserve"> underrepresentation </w:t>
      </w:r>
      <w:r w:rsidR="00426A99" w:rsidRPr="15CEDDE2">
        <w:rPr>
          <w:rFonts w:eastAsia="Arial" w:cs="Arial"/>
          <w:color w:val="000000" w:themeColor="text1"/>
        </w:rPr>
        <w:t xml:space="preserve">in our workforce </w:t>
      </w:r>
      <w:r w:rsidR="002B4E43" w:rsidRPr="15CEDDE2">
        <w:rPr>
          <w:rFonts w:eastAsia="Arial" w:cs="Arial"/>
          <w:color w:val="000000" w:themeColor="text1"/>
        </w:rPr>
        <w:t xml:space="preserve">of </w:t>
      </w:r>
      <w:r w:rsidR="285BE024" w:rsidRPr="15CEDDE2">
        <w:rPr>
          <w:rFonts w:eastAsia="Arial" w:cs="Arial"/>
          <w:color w:val="000000" w:themeColor="text1"/>
        </w:rPr>
        <w:t xml:space="preserve">groups who share a ‘protected characteristic’ (for example, race, sex, or </w:t>
      </w:r>
      <w:r w:rsidR="391BC061" w:rsidRPr="15CEDDE2">
        <w:rPr>
          <w:rFonts w:eastAsia="Arial" w:cs="Arial"/>
          <w:color w:val="000000" w:themeColor="text1"/>
        </w:rPr>
        <w:t>minority ethnic group</w:t>
      </w:r>
      <w:r w:rsidR="285BE024" w:rsidRPr="15CEDDE2">
        <w:rPr>
          <w:rFonts w:eastAsia="Arial" w:cs="Arial"/>
          <w:color w:val="000000" w:themeColor="text1"/>
        </w:rPr>
        <w:t>).</w:t>
      </w:r>
    </w:p>
    <w:p w14:paraId="40704EE7" w14:textId="5E9B74C4" w:rsidR="002312EA" w:rsidRDefault="0D9C9208" w:rsidP="5AAEBE06">
      <w:pPr>
        <w:spacing w:before="240" w:after="240"/>
        <w:rPr>
          <w:rFonts w:eastAsia="Arial" w:cs="Arial"/>
          <w:color w:val="000000" w:themeColor="text1"/>
        </w:rPr>
      </w:pPr>
      <w:r w:rsidRPr="39099C12">
        <w:rPr>
          <w:rFonts w:eastAsia="Arial" w:cs="Arial"/>
          <w:b/>
          <w:bCs/>
          <w:color w:val="000000" w:themeColor="text1"/>
        </w:rPr>
        <w:t xml:space="preserve">Why do we need </w:t>
      </w:r>
      <w:r w:rsidR="306ABED7" w:rsidRPr="39099C12">
        <w:rPr>
          <w:rFonts w:eastAsia="Arial" w:cs="Arial"/>
          <w:b/>
          <w:bCs/>
          <w:color w:val="000000" w:themeColor="text1"/>
        </w:rPr>
        <w:t>this</w:t>
      </w:r>
      <w:r w:rsidRPr="39099C12">
        <w:rPr>
          <w:rFonts w:eastAsia="Arial" w:cs="Arial"/>
          <w:b/>
          <w:bCs/>
          <w:color w:val="000000" w:themeColor="text1"/>
        </w:rPr>
        <w:t xml:space="preserve"> Policy?</w:t>
      </w:r>
    </w:p>
    <w:p w14:paraId="43A5A5AC" w14:textId="51EAFD42" w:rsidR="002312EA" w:rsidRDefault="0DECB077" w:rsidP="39099C12">
      <w:pPr>
        <w:spacing w:before="240" w:after="240"/>
        <w:rPr>
          <w:rFonts w:eastAsia="Arial" w:cs="Arial"/>
          <w:color w:val="000000" w:themeColor="text1"/>
        </w:rPr>
      </w:pPr>
      <w:r w:rsidRPr="39099C12">
        <w:rPr>
          <w:rFonts w:eastAsia="Arial" w:cs="Arial"/>
          <w:color w:val="242424"/>
        </w:rPr>
        <w:t xml:space="preserve">4. </w:t>
      </w:r>
      <w:r w:rsidR="6431E6BA" w:rsidRPr="39099C12">
        <w:rPr>
          <w:rFonts w:eastAsia="Arial" w:cs="Arial"/>
          <w:b/>
          <w:bCs/>
          <w:color w:val="242424"/>
        </w:rPr>
        <w:t>Promoting Equality</w:t>
      </w:r>
      <w:r w:rsidR="6431E6BA" w:rsidRPr="39099C12">
        <w:rPr>
          <w:rFonts w:eastAsia="Arial" w:cs="Arial"/>
          <w:color w:val="242424"/>
        </w:rPr>
        <w:t>: It helps to address and reduce inequalities in the workplace by providing support to underrepresented or disadvantaged groups. This can include training, mentoring, or other initiatives designed to level the playing field</w:t>
      </w:r>
      <w:r w:rsidR="77F3A13C" w:rsidRPr="39099C12">
        <w:rPr>
          <w:rFonts w:eastAsia="Arial" w:cs="Arial"/>
          <w:color w:val="242424"/>
        </w:rPr>
        <w:t>.</w:t>
      </w:r>
      <w:r w:rsidR="6431E6BA" w:rsidRPr="39099C12">
        <w:rPr>
          <w:rFonts w:eastAsia="Arial" w:cs="Arial"/>
          <w:color w:val="242424"/>
        </w:rPr>
        <w:t xml:space="preserve"> </w:t>
      </w:r>
    </w:p>
    <w:p w14:paraId="61E1F390" w14:textId="012371CF" w:rsidR="002312EA" w:rsidRDefault="002312EA" w:rsidP="5AAEBE06">
      <w:pPr>
        <w:shd w:val="clear" w:color="auto" w:fill="FAFAFA"/>
        <w:spacing w:after="0"/>
        <w:rPr>
          <w:rFonts w:eastAsia="Arial" w:cs="Arial"/>
          <w:color w:val="242424"/>
        </w:rPr>
      </w:pPr>
    </w:p>
    <w:p w14:paraId="2C468BAD" w14:textId="29FDD86B" w:rsidR="002312EA" w:rsidRDefault="77FF708B" w:rsidP="5AAEBE06">
      <w:pPr>
        <w:shd w:val="clear" w:color="auto" w:fill="FAFAFA"/>
        <w:spacing w:after="0"/>
        <w:rPr>
          <w:rFonts w:eastAsia="Arial" w:cs="Arial"/>
          <w:color w:val="000000" w:themeColor="text1"/>
        </w:rPr>
      </w:pPr>
      <w:r w:rsidRPr="5AAEBE06">
        <w:rPr>
          <w:rFonts w:eastAsia="Arial" w:cs="Arial"/>
          <w:color w:val="242424"/>
        </w:rPr>
        <w:t>5</w:t>
      </w:r>
      <w:r w:rsidR="0B301879" w:rsidRPr="5AAEBE06">
        <w:rPr>
          <w:rFonts w:eastAsia="Arial" w:cs="Arial"/>
          <w:b/>
          <w:bCs/>
          <w:color w:val="242424"/>
        </w:rPr>
        <w:t xml:space="preserve">. </w:t>
      </w:r>
      <w:r w:rsidR="6431E6BA" w:rsidRPr="5AAEBE06">
        <w:rPr>
          <w:rFonts w:eastAsia="Arial" w:cs="Arial"/>
          <w:b/>
          <w:bCs/>
          <w:color w:val="242424"/>
        </w:rPr>
        <w:t>Enhancing Diversity</w:t>
      </w:r>
      <w:r w:rsidR="6431E6BA" w:rsidRPr="5AAEBE06">
        <w:rPr>
          <w:rFonts w:eastAsia="Arial" w:cs="Arial"/>
          <w:color w:val="242424"/>
        </w:rPr>
        <w:t>: By encouraging a more diverse workforce, positive action can bring a variety of perspectives and ideas, which can lead to more innovative solutions and better decision-making</w:t>
      </w:r>
      <w:r w:rsidR="4BC67D47" w:rsidRPr="5AAEBE06">
        <w:rPr>
          <w:rFonts w:eastAsia="Arial" w:cs="Arial"/>
          <w:color w:val="242424"/>
        </w:rPr>
        <w:t>.</w:t>
      </w:r>
      <w:r w:rsidR="6431E6BA" w:rsidRPr="5AAEBE06">
        <w:rPr>
          <w:rFonts w:eastAsia="Arial" w:cs="Arial"/>
          <w:color w:val="242424"/>
        </w:rPr>
        <w:t xml:space="preserve"> </w:t>
      </w:r>
    </w:p>
    <w:p w14:paraId="143C1D5A" w14:textId="1D049ADA" w:rsidR="002312EA" w:rsidRDefault="002312EA" w:rsidP="41D43DF1">
      <w:pPr>
        <w:pStyle w:val="ListParagraph"/>
        <w:numPr>
          <w:ilvl w:val="0"/>
          <w:numId w:val="0"/>
        </w:numPr>
        <w:shd w:val="clear" w:color="auto" w:fill="FAFAFA"/>
        <w:spacing w:after="0"/>
        <w:ind w:left="720"/>
        <w:rPr>
          <w:rFonts w:eastAsia="Arial" w:cs="Arial"/>
          <w:color w:val="242424"/>
        </w:rPr>
      </w:pPr>
    </w:p>
    <w:p w14:paraId="070DC640" w14:textId="524AB437" w:rsidR="002312EA" w:rsidRDefault="37BED691" w:rsidP="5AAEBE06">
      <w:pPr>
        <w:shd w:val="clear" w:color="auto" w:fill="FAFAFA"/>
        <w:spacing w:after="0"/>
        <w:rPr>
          <w:rFonts w:eastAsia="Arial" w:cs="Arial"/>
          <w:color w:val="000000" w:themeColor="text1"/>
        </w:rPr>
      </w:pPr>
      <w:r w:rsidRPr="5AAEBE06">
        <w:rPr>
          <w:rFonts w:eastAsia="Arial" w:cs="Arial"/>
          <w:color w:val="242424"/>
        </w:rPr>
        <w:t>6</w:t>
      </w:r>
      <w:r w:rsidR="2D6DDDEA" w:rsidRPr="5AAEBE06">
        <w:rPr>
          <w:rFonts w:eastAsia="Arial" w:cs="Arial"/>
          <w:color w:val="242424"/>
        </w:rPr>
        <w:t>.</w:t>
      </w:r>
      <w:r w:rsidRPr="5AAEBE06">
        <w:rPr>
          <w:rFonts w:eastAsia="Arial" w:cs="Arial"/>
          <w:b/>
          <w:bCs/>
          <w:color w:val="242424"/>
        </w:rPr>
        <w:t xml:space="preserve"> </w:t>
      </w:r>
      <w:r w:rsidR="6431E6BA" w:rsidRPr="5AAEBE06">
        <w:rPr>
          <w:rFonts w:eastAsia="Arial" w:cs="Arial"/>
          <w:b/>
          <w:bCs/>
          <w:color w:val="242424"/>
        </w:rPr>
        <w:t>Improving Organisational Culture</w:t>
      </w:r>
      <w:r w:rsidR="6431E6BA" w:rsidRPr="5AAEBE06">
        <w:rPr>
          <w:rFonts w:eastAsia="Arial" w:cs="Arial"/>
          <w:color w:val="242424"/>
        </w:rPr>
        <w:t>: It fosters an inclusive environment where all employees feel valued and supported, which can improve morale, job satisfaction, and retention rates</w:t>
      </w:r>
      <w:r w:rsidR="35644D51" w:rsidRPr="5AAEBE06">
        <w:rPr>
          <w:rFonts w:eastAsia="Arial" w:cs="Arial"/>
          <w:color w:val="242424"/>
        </w:rPr>
        <w:t>.</w:t>
      </w:r>
      <w:r w:rsidR="6431E6BA" w:rsidRPr="5AAEBE06">
        <w:rPr>
          <w:rFonts w:eastAsia="Arial" w:cs="Arial"/>
          <w:color w:val="242424"/>
        </w:rPr>
        <w:t xml:space="preserve"> </w:t>
      </w:r>
    </w:p>
    <w:p w14:paraId="5839B2D2" w14:textId="6560A8BD" w:rsidR="002312EA" w:rsidRDefault="002312EA" w:rsidP="41D43DF1">
      <w:pPr>
        <w:pStyle w:val="ListParagraph"/>
        <w:numPr>
          <w:ilvl w:val="0"/>
          <w:numId w:val="0"/>
        </w:numPr>
        <w:shd w:val="clear" w:color="auto" w:fill="FAFAFA"/>
        <w:spacing w:after="0"/>
        <w:ind w:left="720"/>
        <w:rPr>
          <w:rFonts w:eastAsia="Arial" w:cs="Arial"/>
          <w:color w:val="242424"/>
        </w:rPr>
      </w:pPr>
    </w:p>
    <w:p w14:paraId="019985DB" w14:textId="558C6334" w:rsidR="002312EA" w:rsidRDefault="43C212A4" w:rsidP="5AAEBE06">
      <w:pPr>
        <w:shd w:val="clear" w:color="auto" w:fill="FAFAFA"/>
        <w:spacing w:after="0"/>
        <w:rPr>
          <w:rFonts w:eastAsia="Arial" w:cs="Arial"/>
          <w:color w:val="000000" w:themeColor="text1"/>
        </w:rPr>
      </w:pPr>
      <w:r w:rsidRPr="5AAEBE06">
        <w:rPr>
          <w:rFonts w:eastAsia="Arial" w:cs="Arial"/>
          <w:color w:val="242424"/>
        </w:rPr>
        <w:t>7</w:t>
      </w:r>
      <w:r w:rsidR="5FB791F8" w:rsidRPr="5AAEBE06">
        <w:rPr>
          <w:rFonts w:eastAsia="Arial" w:cs="Arial"/>
          <w:color w:val="242424"/>
        </w:rPr>
        <w:t>.</w:t>
      </w:r>
      <w:r w:rsidRPr="5AAEBE06">
        <w:rPr>
          <w:rFonts w:eastAsia="Arial" w:cs="Arial"/>
          <w:color w:val="242424"/>
        </w:rPr>
        <w:t xml:space="preserve"> </w:t>
      </w:r>
      <w:r w:rsidR="6431E6BA" w:rsidRPr="5AAEBE06">
        <w:rPr>
          <w:rFonts w:eastAsia="Arial" w:cs="Arial"/>
          <w:b/>
          <w:bCs/>
          <w:color w:val="242424"/>
        </w:rPr>
        <w:t>Addressing Disadvantages</w:t>
      </w:r>
      <w:r w:rsidR="6431E6BA" w:rsidRPr="5AAEBE06">
        <w:rPr>
          <w:rFonts w:eastAsia="Arial" w:cs="Arial"/>
          <w:color w:val="242424"/>
        </w:rPr>
        <w:t>: Positive action can help to rectify disadvantages faced by certain groups, ensuring that everyone has an equal opportunity to succeed</w:t>
      </w:r>
      <w:r w:rsidR="72889333" w:rsidRPr="5AAEBE06">
        <w:rPr>
          <w:rFonts w:eastAsia="Arial" w:cs="Arial"/>
          <w:color w:val="242424"/>
        </w:rPr>
        <w:t>.</w:t>
      </w:r>
    </w:p>
    <w:p w14:paraId="70635196" w14:textId="02D13EA0" w:rsidR="002312EA" w:rsidRDefault="5E89B88C" w:rsidP="5AAEBE06">
      <w:pPr>
        <w:pStyle w:val="Heading1"/>
        <w:spacing w:after="240"/>
        <w:rPr>
          <w:rFonts w:eastAsia="Arial" w:cs="Arial"/>
          <w:b w:val="0"/>
          <w:color w:val="000000" w:themeColor="text1"/>
          <w:sz w:val="22"/>
          <w:szCs w:val="22"/>
        </w:rPr>
      </w:pPr>
      <w:r>
        <w:rPr>
          <w:b w:val="0"/>
        </w:rPr>
        <w:t>8</w:t>
      </w:r>
      <w:r w:rsidR="6B0AF168">
        <w:rPr>
          <w:b w:val="0"/>
        </w:rPr>
        <w:t xml:space="preserve">. </w:t>
      </w:r>
      <w:r w:rsidR="3127A6B8">
        <w:t xml:space="preserve">Alternative Options Considered </w:t>
      </w:r>
    </w:p>
    <w:p w14:paraId="5556DAA0" w14:textId="3CAA6716" w:rsidR="002312EA" w:rsidRPr="009E30E2" w:rsidRDefault="0004184E" w:rsidP="5AAEBE06">
      <w:pPr>
        <w:pStyle w:val="bParagraphtext"/>
        <w:numPr>
          <w:ilvl w:val="0"/>
          <w:numId w:val="0"/>
        </w:numPr>
        <w:rPr>
          <w:rFonts w:cs="Arial"/>
          <w:color w:val="auto"/>
        </w:rPr>
      </w:pPr>
      <w:r w:rsidRPr="5AAEBE06">
        <w:rPr>
          <w:rFonts w:cs="Arial"/>
          <w:color w:val="auto"/>
        </w:rPr>
        <w:t>No alternative options were considered.</w:t>
      </w:r>
      <w:r w:rsidR="3127A6B8" w:rsidRPr="5AAEBE06">
        <w:rPr>
          <w:rFonts w:cs="Arial"/>
          <w:color w:val="auto"/>
        </w:rPr>
        <w:t xml:space="preserve"> </w:t>
      </w:r>
    </w:p>
    <w:p w14:paraId="0EA93A88" w14:textId="560B4E08" w:rsidR="41D43DF1" w:rsidRDefault="41D43DF1" w:rsidP="41D43DF1">
      <w:pPr>
        <w:pStyle w:val="bParagraphtext"/>
        <w:numPr>
          <w:ilvl w:val="0"/>
          <w:numId w:val="0"/>
        </w:numPr>
        <w:ind w:left="720"/>
        <w:rPr>
          <w:rFonts w:cs="Arial"/>
          <w:color w:val="auto"/>
        </w:rPr>
      </w:pPr>
    </w:p>
    <w:p w14:paraId="7D8BC220" w14:textId="758E771C" w:rsidR="00E87F7A" w:rsidRPr="001356F1" w:rsidRDefault="157C1242" w:rsidP="5AAEBE06">
      <w:pPr>
        <w:pStyle w:val="Bulletpoints"/>
        <w:numPr>
          <w:ilvl w:val="0"/>
          <w:numId w:val="0"/>
        </w:numPr>
        <w:rPr>
          <w:b/>
          <w:bCs/>
        </w:rPr>
      </w:pPr>
      <w:r w:rsidRPr="5AAEBE06">
        <w:rPr>
          <w:b/>
          <w:bCs/>
        </w:rPr>
        <w:t>C</w:t>
      </w:r>
      <w:r w:rsidR="1354AE25" w:rsidRPr="5AAEBE06">
        <w:rPr>
          <w:b/>
          <w:bCs/>
        </w:rPr>
        <w:t>onsultation and communication</w:t>
      </w:r>
    </w:p>
    <w:p w14:paraId="3CF0097B" w14:textId="2668B4E0" w:rsidR="00E87F7A" w:rsidRPr="001356F1" w:rsidRDefault="1D2487C6" w:rsidP="5AAEBE06">
      <w:pPr>
        <w:pStyle w:val="Bulletpoints"/>
        <w:numPr>
          <w:ilvl w:val="0"/>
          <w:numId w:val="0"/>
        </w:numPr>
      </w:pPr>
      <w:r>
        <w:t>9</w:t>
      </w:r>
      <w:r w:rsidR="169B84D0">
        <w:t>.</w:t>
      </w:r>
      <w:r>
        <w:t xml:space="preserve"> </w:t>
      </w:r>
      <w:r w:rsidR="65D64D47">
        <w:t>W</w:t>
      </w:r>
      <w:r w:rsidR="125C3D11">
        <w:t xml:space="preserve">e have consulted with </w:t>
      </w:r>
      <w:r w:rsidR="008460C6">
        <w:t>t</w:t>
      </w:r>
      <w:r w:rsidR="125C3D11">
        <w:t xml:space="preserve">he </w:t>
      </w:r>
      <w:r w:rsidR="105BA84F">
        <w:t>Trade U</w:t>
      </w:r>
      <w:r w:rsidR="125C3D11">
        <w:t>nion</w:t>
      </w:r>
      <w:r w:rsidR="093839A0">
        <w:t>s</w:t>
      </w:r>
      <w:r w:rsidR="125C3D11">
        <w:t xml:space="preserve">, </w:t>
      </w:r>
      <w:r w:rsidR="248B0B55">
        <w:t xml:space="preserve">our Corporate Leadership Team </w:t>
      </w:r>
      <w:r w:rsidR="7D30E49F">
        <w:t xml:space="preserve">and </w:t>
      </w:r>
      <w:r w:rsidR="59075083">
        <w:t>our internal</w:t>
      </w:r>
      <w:r w:rsidR="11AD4270">
        <w:t xml:space="preserve"> </w:t>
      </w:r>
      <w:r w:rsidR="73A4F17C">
        <w:t>S</w:t>
      </w:r>
      <w:r w:rsidR="125C3D11">
        <w:t xml:space="preserve">taff </w:t>
      </w:r>
      <w:r w:rsidR="3C461787">
        <w:t>N</w:t>
      </w:r>
      <w:r w:rsidR="125C3D11">
        <w:t>etworks</w:t>
      </w:r>
      <w:r w:rsidR="7F5193FF">
        <w:t>.</w:t>
      </w:r>
    </w:p>
    <w:p w14:paraId="159ACB03" w14:textId="6F64998C" w:rsidR="00E87F7A" w:rsidRPr="001356F1" w:rsidRDefault="00E87F7A" w:rsidP="41D43DF1">
      <w:pPr>
        <w:pStyle w:val="Bulletpoints"/>
        <w:numPr>
          <w:ilvl w:val="0"/>
          <w:numId w:val="0"/>
        </w:numPr>
        <w:ind w:left="720"/>
      </w:pPr>
    </w:p>
    <w:p w14:paraId="3CC174F9" w14:textId="6D9DC77D" w:rsidR="00E87F7A" w:rsidRPr="001356F1" w:rsidRDefault="7EFDE80D" w:rsidP="002B6836">
      <w:pPr>
        <w:pStyle w:val="Bulletpoints"/>
      </w:pPr>
      <w:r>
        <w:t>We will publish the policy on the Staff Intranet and via Published News. We will roll this out via the Hiring Managers</w:t>
      </w:r>
      <w:r w:rsidR="00433341">
        <w:t>’</w:t>
      </w:r>
      <w:r>
        <w:t xml:space="preserve"> Network and also in any up</w:t>
      </w:r>
      <w:r w:rsidR="50BE60BE">
        <w:t xml:space="preserve">coming relevant Leadership Conversations. </w:t>
      </w:r>
    </w:p>
    <w:p w14:paraId="22F27B1F" w14:textId="46151FA9" w:rsidR="0040736F" w:rsidRPr="002B6836" w:rsidRDefault="0040736F" w:rsidP="41D43DF1">
      <w:pPr>
        <w:pStyle w:val="Bulletpoints"/>
        <w:numPr>
          <w:ilvl w:val="0"/>
          <w:numId w:val="0"/>
        </w:numPr>
        <w:ind w:left="720"/>
      </w:pPr>
    </w:p>
    <w:p w14:paraId="51065D53" w14:textId="522C36A4" w:rsidR="0040736F" w:rsidRPr="002B6836" w:rsidRDefault="50BE60BE" w:rsidP="41D43DF1">
      <w:pPr>
        <w:pStyle w:val="Bulletpoints"/>
      </w:pPr>
      <w:r>
        <w:t xml:space="preserve">We will monitor the impact of this policy </w:t>
      </w:r>
      <w:r w:rsidR="00433341">
        <w:t>by</w:t>
      </w:r>
      <w:r>
        <w:t xml:space="preserve"> reviewing our </w:t>
      </w:r>
      <w:r w:rsidR="00433341">
        <w:t xml:space="preserve">workforce profile </w:t>
      </w:r>
      <w:r>
        <w:t>data and gaining feedback</w:t>
      </w:r>
      <w:r w:rsidR="711705A9">
        <w:t xml:space="preserve"> from</w:t>
      </w:r>
      <w:r w:rsidR="28AB18C7">
        <w:t xml:space="preserve"> managers</w:t>
      </w:r>
      <w:r>
        <w:t xml:space="preserve"> within the first 6 months.</w:t>
      </w:r>
    </w:p>
    <w:p w14:paraId="11308776" w14:textId="0ACC2877" w:rsidR="0040736F" w:rsidRPr="002B6836" w:rsidRDefault="2F1C7194" w:rsidP="5AAEBE06">
      <w:pPr>
        <w:pStyle w:val="Heading1"/>
      </w:pPr>
      <w:r>
        <w:t>Financial implications</w:t>
      </w:r>
    </w:p>
    <w:p w14:paraId="7056F3F6" w14:textId="1083B75A" w:rsidR="5064B2EA" w:rsidRDefault="6FB726A9" w:rsidP="5AAEBE06">
      <w:pPr>
        <w:rPr>
          <w:color w:val="000000" w:themeColor="text1"/>
        </w:rPr>
      </w:pPr>
      <w:r>
        <w:lastRenderedPageBreak/>
        <w:t>10</w:t>
      </w:r>
      <w:r w:rsidR="26295F60">
        <w:t>.</w:t>
      </w:r>
      <w:r>
        <w:t xml:space="preserve"> </w:t>
      </w:r>
      <w:r w:rsidR="00F8683D">
        <w:t>There are no financial implications.</w:t>
      </w:r>
    </w:p>
    <w:p w14:paraId="6235988C" w14:textId="3948131B" w:rsidR="002329CF" w:rsidRPr="001356F1" w:rsidRDefault="700D2009" w:rsidP="5AAEBE06">
      <w:pPr>
        <w:pStyle w:val="Heading1"/>
      </w:pPr>
      <w:r>
        <w:t>Legal issues</w:t>
      </w:r>
    </w:p>
    <w:p w14:paraId="6CD419DB" w14:textId="0515F823" w:rsidR="00022791" w:rsidRPr="002568E7" w:rsidRDefault="5A77A813" w:rsidP="5AAEBE06">
      <w:pPr>
        <w:pStyle w:val="Heading1"/>
        <w:spacing w:line="259" w:lineRule="auto"/>
        <w:rPr>
          <w:b w:val="0"/>
          <w:color w:val="000000" w:themeColor="text1"/>
        </w:rPr>
      </w:pPr>
      <w:r>
        <w:rPr>
          <w:b w:val="0"/>
        </w:rPr>
        <w:t>11</w:t>
      </w:r>
      <w:r w:rsidR="54AF8D07">
        <w:rPr>
          <w:b w:val="0"/>
        </w:rPr>
        <w:t xml:space="preserve">. </w:t>
      </w:r>
      <w:r>
        <w:rPr>
          <w:b w:val="0"/>
        </w:rPr>
        <w:t>The Equality</w:t>
      </w:r>
      <w:r w:rsidR="00022791">
        <w:rPr>
          <w:b w:val="0"/>
        </w:rPr>
        <w:t xml:space="preserve"> Act 2010, section 149 introduced the Public Sector Equality Duty. It requires that in everything the Council does, must have due regard to: </w:t>
      </w:r>
      <w:r w:rsidR="00575428">
        <w:rPr>
          <w:b w:val="0"/>
        </w:rPr>
        <w:t xml:space="preserve">the need to </w:t>
      </w:r>
      <w:r w:rsidR="00022791">
        <w:rPr>
          <w:b w:val="0"/>
        </w:rPr>
        <w:t xml:space="preserve">eliminate discrimination, harassment, victimisation and any other conduct that is prohibited by the Act; </w:t>
      </w:r>
      <w:r w:rsidR="00575428">
        <w:rPr>
          <w:b w:val="0"/>
        </w:rPr>
        <w:t xml:space="preserve">the need to </w:t>
      </w:r>
      <w:r w:rsidR="00022791">
        <w:rPr>
          <w:b w:val="0"/>
        </w:rPr>
        <w:t>advance equality of opportunity between persons who share a relevant protected characteristic and persons who do not share it; and foster good relations between persons who share a relevant protected characteristic and persons who do not share it.</w:t>
      </w:r>
    </w:p>
    <w:p w14:paraId="7F7C7EDC" w14:textId="77777777" w:rsidR="00022791" w:rsidRPr="00022791" w:rsidRDefault="00022791" w:rsidP="5AAEBE06"/>
    <w:p w14:paraId="39265579" w14:textId="0B3E97E1" w:rsidR="002329CF" w:rsidRPr="001356F1" w:rsidRDefault="2F1C7194" w:rsidP="5AAEBE06">
      <w:pPr>
        <w:pStyle w:val="Heading1"/>
      </w:pPr>
      <w:r>
        <w:t>Level of risk</w:t>
      </w:r>
    </w:p>
    <w:p w14:paraId="0BF2E873" w14:textId="53F7E393" w:rsidR="002329CF" w:rsidRPr="001356F1" w:rsidRDefault="6C0D8FC0" w:rsidP="5AAEBE06">
      <w:pPr>
        <w:pStyle w:val="bParagraphtext"/>
        <w:numPr>
          <w:ilvl w:val="0"/>
          <w:numId w:val="0"/>
        </w:numPr>
      </w:pPr>
      <w:r>
        <w:t>12</w:t>
      </w:r>
      <w:r w:rsidR="7809D976">
        <w:t>.</w:t>
      </w:r>
      <w:r>
        <w:t xml:space="preserve"> </w:t>
      </w:r>
      <w:r w:rsidR="1F3AF5E1">
        <w:t xml:space="preserve">N/A </w:t>
      </w:r>
    </w:p>
    <w:p w14:paraId="2399E607" w14:textId="18FA8CF5" w:rsidR="002329CF" w:rsidRPr="001356F1" w:rsidRDefault="2F1C7194" w:rsidP="5AAEBE06">
      <w:pPr>
        <w:pStyle w:val="bParagraphtext"/>
        <w:numPr>
          <w:ilvl w:val="0"/>
          <w:numId w:val="0"/>
        </w:numPr>
        <w:rPr>
          <w:b/>
          <w:bCs/>
        </w:rPr>
      </w:pPr>
      <w:r w:rsidRPr="5AAEBE06">
        <w:rPr>
          <w:b/>
          <w:bCs/>
        </w:rPr>
        <w:t xml:space="preserve">Equalities impact </w:t>
      </w:r>
    </w:p>
    <w:p w14:paraId="0E57E11F" w14:textId="35E1676F" w:rsidR="39537015" w:rsidRDefault="05096B06" w:rsidP="5AAEBE06">
      <w:pPr>
        <w:pStyle w:val="bParagraphtext"/>
        <w:numPr>
          <w:ilvl w:val="0"/>
          <w:numId w:val="0"/>
        </w:numPr>
      </w:pPr>
      <w:bookmarkStart w:id="0" w:name="_Hlk184712181"/>
      <w:bookmarkEnd w:id="0"/>
      <w:r>
        <w:t>13</w:t>
      </w:r>
      <w:r w:rsidR="403EC15E">
        <w:t>.</w:t>
      </w:r>
      <w:r>
        <w:t xml:space="preserve"> </w:t>
      </w:r>
      <w:r w:rsidR="39537015">
        <w:t>Please see Annex 2: Equalities Impact Assessment</w:t>
      </w:r>
      <w:r w:rsidR="49780970">
        <w:t>.</w:t>
      </w:r>
      <w:r w:rsidR="39537015">
        <w:t xml:space="preserve"> </w:t>
      </w:r>
    </w:p>
    <w:p w14:paraId="1C46F1C8" w14:textId="7604697A" w:rsidR="00FB3B71" w:rsidRDefault="7F03BE48" w:rsidP="5AAEBE06">
      <w:pPr>
        <w:pStyle w:val="bParagraphtext"/>
        <w:numPr>
          <w:ilvl w:val="0"/>
          <w:numId w:val="0"/>
        </w:numPr>
        <w:rPr>
          <w:b/>
          <w:bCs/>
        </w:rPr>
      </w:pPr>
      <w:bookmarkStart w:id="1" w:name="_Hlk184712246"/>
      <w:r w:rsidRPr="5AAEBE06">
        <w:rPr>
          <w:b/>
          <w:bCs/>
        </w:rPr>
        <w:t>Carbon and Environmental Considerations</w:t>
      </w:r>
    </w:p>
    <w:bookmarkEnd w:id="1"/>
    <w:p w14:paraId="31DA3D9A" w14:textId="5095E6B7" w:rsidR="00FB3B71" w:rsidRDefault="1A63E71A" w:rsidP="5AAEBE06">
      <w:pPr>
        <w:pStyle w:val="bParagraphtext"/>
        <w:numPr>
          <w:ilvl w:val="0"/>
          <w:numId w:val="0"/>
        </w:numPr>
        <w:rPr>
          <w:color w:val="000000" w:themeColor="text1"/>
        </w:rPr>
      </w:pPr>
      <w:r w:rsidRPr="5AAEBE06">
        <w:rPr>
          <w:color w:val="000000" w:themeColor="text1"/>
        </w:rPr>
        <w:t>14</w:t>
      </w:r>
      <w:r w:rsidR="5D9A6499" w:rsidRPr="5AAEBE06">
        <w:rPr>
          <w:color w:val="000000" w:themeColor="text1"/>
        </w:rPr>
        <w:t>.</w:t>
      </w:r>
      <w:r w:rsidRPr="5AAEBE06">
        <w:rPr>
          <w:color w:val="000000" w:themeColor="text1"/>
        </w:rPr>
        <w:t xml:space="preserve"> </w:t>
      </w:r>
      <w:r w:rsidR="0025AE27" w:rsidRPr="5AAEBE06">
        <w:rPr>
          <w:color w:val="000000" w:themeColor="text1"/>
        </w:rPr>
        <w:t>N/A</w:t>
      </w:r>
    </w:p>
    <w:p w14:paraId="1C7A0F5E" w14:textId="77777777" w:rsidR="00FB3B71" w:rsidRPr="00FB3B71" w:rsidRDefault="2C4B3A3C" w:rsidP="5AAEBE06">
      <w:pPr>
        <w:pStyle w:val="bParagraphtext"/>
        <w:numPr>
          <w:ilvl w:val="0"/>
          <w:numId w:val="0"/>
        </w:numPr>
        <w:rPr>
          <w:b/>
          <w:bCs/>
        </w:rPr>
      </w:pPr>
      <w:r w:rsidRPr="5AAEBE06">
        <w:rPr>
          <w:b/>
          <w:bCs/>
        </w:rPr>
        <w:t>Conclusion</w:t>
      </w:r>
    </w:p>
    <w:p w14:paraId="1C3EE284" w14:textId="037A52D1" w:rsidR="00E206D6" w:rsidRPr="001356F1" w:rsidRDefault="07C20F3A" w:rsidP="5AAEBE06">
      <w:pPr>
        <w:pStyle w:val="bParagraphtext"/>
        <w:numPr>
          <w:ilvl w:val="0"/>
          <w:numId w:val="0"/>
        </w:numPr>
      </w:pPr>
      <w:r>
        <w:t>15</w:t>
      </w:r>
      <w:r w:rsidR="1B33A70A">
        <w:t>.</w:t>
      </w:r>
      <w:r>
        <w:t xml:space="preserve"> </w:t>
      </w:r>
      <w:r w:rsidR="49EA528E">
        <w:t>For</w:t>
      </w:r>
      <w:r w:rsidR="003945A9">
        <w:t xml:space="preserve"> the Council to improve the diversity of the workforce and support its objective to improve inclusion, </w:t>
      </w:r>
      <w:r w:rsidR="00B863A4">
        <w:t xml:space="preserve">it is </w:t>
      </w:r>
      <w:r w:rsidR="00127CA2">
        <w:t>proposed t</w:t>
      </w:r>
      <w:r w:rsidR="00F73583">
        <w:t xml:space="preserve">hat positive action </w:t>
      </w:r>
      <w:r w:rsidR="007A46C6">
        <w:t>becomes formalised as policy.</w:t>
      </w:r>
      <w:r w:rsidR="00127CA2">
        <w:t xml:space="preserve"> </w:t>
      </w:r>
      <w:r w:rsidR="00B863A4">
        <w:t xml:space="preserve"> </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5AAEBE06">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shd w:val="clear" w:color="auto" w:fill="auto"/>
          </w:tcPr>
          <w:p w14:paraId="6930C959" w14:textId="4083B671" w:rsidR="00E87F7A" w:rsidRPr="001356F1" w:rsidRDefault="29A12111" w:rsidP="00A46E98">
            <w:r>
              <w:t>Sobia Afridi</w:t>
            </w:r>
          </w:p>
        </w:tc>
      </w:tr>
      <w:tr w:rsidR="00DF093E" w:rsidRPr="001356F1" w14:paraId="07A5B9C2" w14:textId="77777777" w:rsidTr="5AAEBE06">
        <w:trPr>
          <w:cantSplit/>
          <w:trHeight w:val="396"/>
        </w:trPr>
        <w:tc>
          <w:tcPr>
            <w:tcW w:w="3969" w:type="dxa"/>
            <w:tcBorders>
              <w:top w:val="single" w:sz="8" w:space="0" w:color="000000" w:themeColor="text1"/>
              <w:left w:val="single" w:sz="8" w:space="0" w:color="000000" w:themeColor="text1"/>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shd w:val="clear" w:color="auto" w:fill="auto"/>
          </w:tcPr>
          <w:p w14:paraId="3100D2DA" w14:textId="675652DB" w:rsidR="00E87F7A" w:rsidRPr="001356F1" w:rsidRDefault="7DD0561F" w:rsidP="00A46E98">
            <w:r>
              <w:t>E</w:t>
            </w:r>
            <w:r w:rsidR="6B0534A5">
              <w:t>DI Specialist</w:t>
            </w:r>
          </w:p>
        </w:tc>
      </w:tr>
      <w:tr w:rsidR="00DF093E" w:rsidRPr="001356F1" w14:paraId="6DEB5543" w14:textId="77777777" w:rsidTr="5AAEBE06">
        <w:trPr>
          <w:cantSplit/>
          <w:trHeight w:val="396"/>
        </w:trPr>
        <w:tc>
          <w:tcPr>
            <w:tcW w:w="3969" w:type="dxa"/>
            <w:tcBorders>
              <w:top w:val="nil"/>
              <w:left w:val="single" w:sz="8" w:space="0" w:color="000000" w:themeColor="text1"/>
              <w:bottom w:val="nil"/>
              <w:right w:val="nil"/>
            </w:tcBorders>
            <w:shd w:val="clear" w:color="auto" w:fill="auto"/>
          </w:tcPr>
          <w:p w14:paraId="7BD402AB" w14:textId="74232F94" w:rsidR="00E87F7A" w:rsidRPr="001356F1" w:rsidRDefault="1354AE25" w:rsidP="00A46E98">
            <w:r>
              <w:t>Service area or department</w:t>
            </w:r>
            <w:r w:rsidR="2FA7C79F">
              <w:t xml:space="preserve">                </w:t>
            </w:r>
          </w:p>
        </w:tc>
        <w:tc>
          <w:tcPr>
            <w:tcW w:w="4962" w:type="dxa"/>
            <w:tcBorders>
              <w:top w:val="nil"/>
              <w:left w:val="nil"/>
              <w:bottom w:val="nil"/>
              <w:right w:val="single" w:sz="8" w:space="0" w:color="000000" w:themeColor="text1"/>
            </w:tcBorders>
            <w:shd w:val="clear" w:color="auto" w:fill="auto"/>
          </w:tcPr>
          <w:p w14:paraId="0F7746FF" w14:textId="0D2353DE" w:rsidR="00E87F7A" w:rsidRPr="001356F1" w:rsidRDefault="1B1388FD" w:rsidP="00A46E98">
            <w:r>
              <w:t>People Ser</w:t>
            </w:r>
            <w:r w:rsidR="2C9176E3">
              <w:t>vices</w:t>
            </w:r>
          </w:p>
        </w:tc>
      </w:tr>
      <w:tr w:rsidR="00DF093E" w:rsidRPr="001356F1" w14:paraId="572FB489" w14:textId="77777777" w:rsidTr="5AAEBE06">
        <w:trPr>
          <w:cantSplit/>
          <w:trHeight w:val="396"/>
        </w:trPr>
        <w:tc>
          <w:tcPr>
            <w:tcW w:w="3969" w:type="dxa"/>
            <w:tcBorders>
              <w:top w:val="nil"/>
              <w:left w:val="single" w:sz="8" w:space="0" w:color="000000" w:themeColor="text1"/>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shd w:val="clear" w:color="auto" w:fill="auto"/>
          </w:tcPr>
          <w:p w14:paraId="53D96CCC" w14:textId="499B586A" w:rsidR="00E87F7A" w:rsidRPr="001356F1" w:rsidRDefault="1354AE25" w:rsidP="00A46E98">
            <w:r>
              <w:t xml:space="preserve">01865 </w:t>
            </w:r>
            <w:r w:rsidR="14AF0897">
              <w:t>529338</w:t>
            </w:r>
            <w:r>
              <w:t xml:space="preserve"> </w:t>
            </w:r>
          </w:p>
        </w:tc>
      </w:tr>
      <w:tr w:rsidR="005570B5" w:rsidRPr="001356F1" w14:paraId="40AEFD69" w14:textId="77777777" w:rsidTr="5AAEBE06">
        <w:trPr>
          <w:cantSplit/>
          <w:trHeight w:val="396"/>
        </w:trPr>
        <w:tc>
          <w:tcPr>
            <w:tcW w:w="3969" w:type="dxa"/>
            <w:tcBorders>
              <w:top w:val="nil"/>
              <w:left w:val="single" w:sz="8" w:space="0" w:color="000000" w:themeColor="text1"/>
              <w:bottom w:val="single" w:sz="8" w:space="0" w:color="000000" w:themeColor="text1"/>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shd w:val="clear" w:color="auto" w:fill="auto"/>
          </w:tcPr>
          <w:p w14:paraId="64C04F4C" w14:textId="58FDF2A3" w:rsidR="00E87F7A" w:rsidRPr="007D7667" w:rsidRDefault="2752A45D" w:rsidP="00A46E98">
            <w:pPr>
              <w:rPr>
                <w:rStyle w:val="Hyperlink"/>
                <w:color w:val="000000" w:themeColor="text1"/>
              </w:rPr>
            </w:pPr>
            <w:r w:rsidRPr="41D43DF1">
              <w:rPr>
                <w:rStyle w:val="Hyperlink"/>
                <w:color w:val="000000" w:themeColor="text1"/>
              </w:rPr>
              <w:t>safridi@oxford.gov.uk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F093E" w:rsidRPr="001356F1" w14:paraId="12CCF8EE" w14:textId="77777777" w:rsidTr="41D43DF1">
        <w:tc>
          <w:tcPr>
            <w:tcW w:w="8931" w:type="dxa"/>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306BE2EE" w:rsidR="0093067A" w:rsidRPr="007D7667" w:rsidRDefault="25F1C3DB" w:rsidP="007D7667">
            <w:pPr>
              <w:rPr>
                <w:rStyle w:val="Firstpagetablebold"/>
              </w:rPr>
            </w:pPr>
            <w:r w:rsidRPr="41D43DF1">
              <w:rPr>
                <w:rStyle w:val="Firstpagetablebold"/>
              </w:rPr>
              <w:t xml:space="preserve">Background Papers: </w:t>
            </w:r>
            <w:r w:rsidR="2B2CB650" w:rsidRPr="41D43DF1">
              <w:rPr>
                <w:rStyle w:val="Firstpagetablebold"/>
              </w:rPr>
              <w:t>N/A</w:t>
            </w:r>
          </w:p>
        </w:tc>
      </w:tr>
    </w:tbl>
    <w:p w14:paraId="6E09069D" w14:textId="77777777" w:rsidR="00CE4C87" w:rsidRDefault="00CE4C87" w:rsidP="0093067A"/>
    <w:p w14:paraId="1FE671BD" w14:textId="77777777" w:rsidR="004456DD" w:rsidRPr="009E51FC" w:rsidRDefault="004456DD" w:rsidP="0093067A"/>
    <w:sectPr w:rsidR="004456DD" w:rsidRPr="009E51FC" w:rsidSect="002B6836">
      <w:footerReference w:type="even" r:id="rId8"/>
      <w:headerReference w:type="first" r:id="rId9"/>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8189" w14:textId="77777777" w:rsidR="00A919A8" w:rsidRDefault="00A919A8" w:rsidP="004A6D2F">
      <w:r>
        <w:separator/>
      </w:r>
    </w:p>
  </w:endnote>
  <w:endnote w:type="continuationSeparator" w:id="0">
    <w:p w14:paraId="356E8E50" w14:textId="77777777" w:rsidR="00A919A8" w:rsidRDefault="00A919A8"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D1F0" w14:textId="77777777" w:rsidR="00A919A8" w:rsidRDefault="00A919A8" w:rsidP="004A6D2F">
      <w:r>
        <w:separator/>
      </w:r>
    </w:p>
  </w:footnote>
  <w:footnote w:type="continuationSeparator" w:id="0">
    <w:p w14:paraId="0254B790" w14:textId="77777777" w:rsidR="00A919A8" w:rsidRDefault="00A919A8"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2A3036"/>
    <w:multiLevelType w:val="hybridMultilevel"/>
    <w:tmpl w:val="3664E488"/>
    <w:lvl w:ilvl="0" w:tplc="E57C5310">
      <w:start w:val="4"/>
      <w:numFmt w:val="decimal"/>
      <w:lvlText w:val="%1"/>
      <w:lvlJc w:val="left"/>
      <w:pPr>
        <w:ind w:left="360" w:hanging="360"/>
      </w:pPr>
    </w:lvl>
    <w:lvl w:ilvl="1" w:tplc="EE78EF74">
      <w:start w:val="1"/>
      <w:numFmt w:val="lowerLetter"/>
      <w:lvlText w:val="%2."/>
      <w:lvlJc w:val="left"/>
      <w:pPr>
        <w:ind w:left="1440" w:hanging="360"/>
      </w:pPr>
    </w:lvl>
    <w:lvl w:ilvl="2" w:tplc="BDAE6E5A">
      <w:start w:val="1"/>
      <w:numFmt w:val="lowerRoman"/>
      <w:lvlText w:val="%3."/>
      <w:lvlJc w:val="right"/>
      <w:pPr>
        <w:ind w:left="2160" w:hanging="180"/>
      </w:pPr>
    </w:lvl>
    <w:lvl w:ilvl="3" w:tplc="FEBAD2BE">
      <w:start w:val="1"/>
      <w:numFmt w:val="decimal"/>
      <w:lvlText w:val="%4."/>
      <w:lvlJc w:val="left"/>
      <w:pPr>
        <w:ind w:left="2880" w:hanging="360"/>
      </w:pPr>
    </w:lvl>
    <w:lvl w:ilvl="4" w:tplc="39525D1E">
      <w:start w:val="1"/>
      <w:numFmt w:val="lowerLetter"/>
      <w:lvlText w:val="%5."/>
      <w:lvlJc w:val="left"/>
      <w:pPr>
        <w:ind w:left="3600" w:hanging="360"/>
      </w:pPr>
    </w:lvl>
    <w:lvl w:ilvl="5" w:tplc="C736F414">
      <w:start w:val="1"/>
      <w:numFmt w:val="lowerRoman"/>
      <w:lvlText w:val="%6."/>
      <w:lvlJc w:val="right"/>
      <w:pPr>
        <w:ind w:left="4320" w:hanging="180"/>
      </w:pPr>
    </w:lvl>
    <w:lvl w:ilvl="6" w:tplc="600ADC3C">
      <w:start w:val="1"/>
      <w:numFmt w:val="decimal"/>
      <w:lvlText w:val="%7."/>
      <w:lvlJc w:val="left"/>
      <w:pPr>
        <w:ind w:left="5040" w:hanging="360"/>
      </w:pPr>
    </w:lvl>
    <w:lvl w:ilvl="7" w:tplc="98546632">
      <w:start w:val="1"/>
      <w:numFmt w:val="lowerLetter"/>
      <w:lvlText w:val="%8."/>
      <w:lvlJc w:val="left"/>
      <w:pPr>
        <w:ind w:left="5760" w:hanging="360"/>
      </w:pPr>
    </w:lvl>
    <w:lvl w:ilvl="8" w:tplc="EE5E30A8">
      <w:start w:val="1"/>
      <w:numFmt w:val="lowerRoman"/>
      <w:lvlText w:val="%9."/>
      <w:lvlJc w:val="right"/>
      <w:pPr>
        <w:ind w:left="6480" w:hanging="180"/>
      </w:pPr>
    </w:lvl>
  </w:abstractNum>
  <w:abstractNum w:abstractNumId="16"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263A6A"/>
    <w:multiLevelType w:val="multilevel"/>
    <w:tmpl w:val="43D6D2FA"/>
    <w:numStyleLink w:val="StyleBulletedSymbolsymbolLeft063cmHanging063cm"/>
  </w:abstractNum>
  <w:abstractNum w:abstractNumId="19"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5DA56"/>
    <w:multiLevelType w:val="hybridMultilevel"/>
    <w:tmpl w:val="2C2E4136"/>
    <w:lvl w:ilvl="0" w:tplc="3144545A">
      <w:start w:val="1"/>
      <w:numFmt w:val="decimal"/>
      <w:lvlText w:val="%1."/>
      <w:lvlJc w:val="left"/>
      <w:pPr>
        <w:ind w:left="720" w:hanging="360"/>
      </w:pPr>
    </w:lvl>
    <w:lvl w:ilvl="1" w:tplc="681ED3D2">
      <w:start w:val="1"/>
      <w:numFmt w:val="lowerLetter"/>
      <w:lvlText w:val="%2."/>
      <w:lvlJc w:val="left"/>
      <w:pPr>
        <w:ind w:left="1440" w:hanging="360"/>
      </w:pPr>
    </w:lvl>
    <w:lvl w:ilvl="2" w:tplc="D7E640CA">
      <w:start w:val="1"/>
      <w:numFmt w:val="lowerRoman"/>
      <w:lvlText w:val="%3."/>
      <w:lvlJc w:val="right"/>
      <w:pPr>
        <w:ind w:left="2160" w:hanging="180"/>
      </w:pPr>
    </w:lvl>
    <w:lvl w:ilvl="3" w:tplc="145EBEF6">
      <w:start w:val="1"/>
      <w:numFmt w:val="decimal"/>
      <w:lvlText w:val="%4."/>
      <w:lvlJc w:val="left"/>
      <w:pPr>
        <w:ind w:left="2880" w:hanging="360"/>
      </w:pPr>
    </w:lvl>
    <w:lvl w:ilvl="4" w:tplc="85E4DDDE">
      <w:start w:val="1"/>
      <w:numFmt w:val="lowerLetter"/>
      <w:lvlText w:val="%5."/>
      <w:lvlJc w:val="left"/>
      <w:pPr>
        <w:ind w:left="3600" w:hanging="360"/>
      </w:pPr>
    </w:lvl>
    <w:lvl w:ilvl="5" w:tplc="37B2216C">
      <w:start w:val="1"/>
      <w:numFmt w:val="lowerRoman"/>
      <w:lvlText w:val="%6."/>
      <w:lvlJc w:val="right"/>
      <w:pPr>
        <w:ind w:left="4320" w:hanging="180"/>
      </w:pPr>
    </w:lvl>
    <w:lvl w:ilvl="6" w:tplc="8FF403F0">
      <w:start w:val="1"/>
      <w:numFmt w:val="decimal"/>
      <w:lvlText w:val="%7."/>
      <w:lvlJc w:val="left"/>
      <w:pPr>
        <w:ind w:left="5040" w:hanging="360"/>
      </w:pPr>
    </w:lvl>
    <w:lvl w:ilvl="7" w:tplc="8FA08DE6">
      <w:start w:val="1"/>
      <w:numFmt w:val="lowerLetter"/>
      <w:lvlText w:val="%8."/>
      <w:lvlJc w:val="left"/>
      <w:pPr>
        <w:ind w:left="5760" w:hanging="360"/>
      </w:pPr>
    </w:lvl>
    <w:lvl w:ilvl="8" w:tplc="4B903E8E">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9AB25"/>
    <w:multiLevelType w:val="hybridMultilevel"/>
    <w:tmpl w:val="28664674"/>
    <w:lvl w:ilvl="0" w:tplc="2E06FEAE">
      <w:start w:val="1"/>
      <w:numFmt w:val="decimal"/>
      <w:lvlText w:val="%1."/>
      <w:lvlJc w:val="left"/>
      <w:pPr>
        <w:ind w:left="720" w:hanging="360"/>
      </w:pPr>
    </w:lvl>
    <w:lvl w:ilvl="1" w:tplc="1CECD0C6">
      <w:start w:val="1"/>
      <w:numFmt w:val="lowerLetter"/>
      <w:lvlText w:val="%2."/>
      <w:lvlJc w:val="left"/>
      <w:pPr>
        <w:ind w:left="1440" w:hanging="360"/>
      </w:pPr>
    </w:lvl>
    <w:lvl w:ilvl="2" w:tplc="EC144A50">
      <w:start w:val="1"/>
      <w:numFmt w:val="lowerRoman"/>
      <w:lvlText w:val="%3."/>
      <w:lvlJc w:val="right"/>
      <w:pPr>
        <w:ind w:left="2160" w:hanging="180"/>
      </w:pPr>
    </w:lvl>
    <w:lvl w:ilvl="3" w:tplc="60F862CE">
      <w:start w:val="1"/>
      <w:numFmt w:val="decimal"/>
      <w:lvlText w:val="%4."/>
      <w:lvlJc w:val="left"/>
      <w:pPr>
        <w:ind w:left="2880" w:hanging="360"/>
      </w:pPr>
    </w:lvl>
    <w:lvl w:ilvl="4" w:tplc="FBC69EF4">
      <w:start w:val="1"/>
      <w:numFmt w:val="lowerLetter"/>
      <w:lvlText w:val="%5."/>
      <w:lvlJc w:val="left"/>
      <w:pPr>
        <w:ind w:left="3600" w:hanging="360"/>
      </w:pPr>
    </w:lvl>
    <w:lvl w:ilvl="5" w:tplc="A04ADCCC">
      <w:start w:val="1"/>
      <w:numFmt w:val="lowerRoman"/>
      <w:lvlText w:val="%6."/>
      <w:lvlJc w:val="right"/>
      <w:pPr>
        <w:ind w:left="4320" w:hanging="180"/>
      </w:pPr>
    </w:lvl>
    <w:lvl w:ilvl="6" w:tplc="31029B6E">
      <w:start w:val="1"/>
      <w:numFmt w:val="decimal"/>
      <w:lvlText w:val="%7."/>
      <w:lvlJc w:val="left"/>
      <w:pPr>
        <w:ind w:left="5040" w:hanging="360"/>
      </w:pPr>
    </w:lvl>
    <w:lvl w:ilvl="7" w:tplc="301CF2F2">
      <w:start w:val="1"/>
      <w:numFmt w:val="lowerLetter"/>
      <w:lvlText w:val="%8."/>
      <w:lvlJc w:val="left"/>
      <w:pPr>
        <w:ind w:left="5760" w:hanging="360"/>
      </w:pPr>
    </w:lvl>
    <w:lvl w:ilvl="8" w:tplc="F924935E">
      <w:start w:val="1"/>
      <w:numFmt w:val="lowerRoman"/>
      <w:lvlText w:val="%9."/>
      <w:lvlJc w:val="right"/>
      <w:pPr>
        <w:ind w:left="6480" w:hanging="180"/>
      </w:pPr>
    </w:lvl>
  </w:abstractNum>
  <w:abstractNum w:abstractNumId="30"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BA5FD8"/>
    <w:multiLevelType w:val="multilevel"/>
    <w:tmpl w:val="43D6D2FA"/>
    <w:numStyleLink w:val="StyleBulletedSymbolsymbolLeft063cmHanging063cm"/>
  </w:abstractNum>
  <w:abstractNum w:abstractNumId="32"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22831"/>
    <w:multiLevelType w:val="multilevel"/>
    <w:tmpl w:val="43D6D2FA"/>
    <w:numStyleLink w:val="StyleBulletedSymbolsymbolLeft063cmHanging063cm"/>
  </w:abstractNum>
  <w:abstractNum w:abstractNumId="34"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673673"/>
    <w:multiLevelType w:val="hybridMultilevel"/>
    <w:tmpl w:val="A7CEF980"/>
    <w:lvl w:ilvl="0" w:tplc="C2F47EAA">
      <w:start w:val="1"/>
      <w:numFmt w:val="decimal"/>
      <w:lvlText w:val="%1."/>
      <w:lvlJc w:val="left"/>
      <w:pPr>
        <w:ind w:left="340" w:hanging="3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8365C6"/>
    <w:multiLevelType w:val="multilevel"/>
    <w:tmpl w:val="E67CE66C"/>
    <w:numStyleLink w:val="StyleNumberedLeft0cmHanging075cm"/>
  </w:abstractNum>
  <w:num w:numId="1" w16cid:durableId="143160300">
    <w:abstractNumId w:val="29"/>
  </w:num>
  <w:num w:numId="2" w16cid:durableId="281809747">
    <w:abstractNumId w:val="20"/>
  </w:num>
  <w:num w:numId="3" w16cid:durableId="579295416">
    <w:abstractNumId w:val="15"/>
  </w:num>
  <w:num w:numId="4" w16cid:durableId="2036299310">
    <w:abstractNumId w:val="30"/>
  </w:num>
  <w:num w:numId="5" w16cid:durableId="643705505">
    <w:abstractNumId w:val="35"/>
  </w:num>
  <w:num w:numId="6" w16cid:durableId="1284848424">
    <w:abstractNumId w:val="26"/>
  </w:num>
  <w:num w:numId="7" w16cid:durableId="578908713">
    <w:abstractNumId w:val="19"/>
  </w:num>
  <w:num w:numId="8" w16cid:durableId="54470100">
    <w:abstractNumId w:val="32"/>
  </w:num>
  <w:num w:numId="9" w16cid:durableId="694158268">
    <w:abstractNumId w:val="37"/>
  </w:num>
  <w:num w:numId="10" w16cid:durableId="647516062">
    <w:abstractNumId w:val="25"/>
  </w:num>
  <w:num w:numId="11" w16cid:durableId="1160539719">
    <w:abstractNumId w:val="22"/>
  </w:num>
  <w:num w:numId="12" w16cid:durableId="1862670074">
    <w:abstractNumId w:val="13"/>
  </w:num>
  <w:num w:numId="13" w16cid:durableId="948585193">
    <w:abstractNumId w:val="16"/>
  </w:num>
  <w:num w:numId="14" w16cid:durableId="718482766">
    <w:abstractNumId w:val="28"/>
  </w:num>
  <w:num w:numId="15" w16cid:durableId="164051272">
    <w:abstractNumId w:val="27"/>
  </w:num>
  <w:num w:numId="16" w16cid:durableId="1450854030">
    <w:abstractNumId w:val="10"/>
  </w:num>
  <w:num w:numId="17" w16cid:durableId="373359476">
    <w:abstractNumId w:val="39"/>
  </w:num>
  <w:num w:numId="18" w16cid:durableId="1009412161">
    <w:abstractNumId w:val="17"/>
  </w:num>
  <w:num w:numId="19" w16cid:durableId="2041280933">
    <w:abstractNumId w:val="11"/>
  </w:num>
  <w:num w:numId="20" w16cid:durableId="471220593">
    <w:abstractNumId w:val="31"/>
  </w:num>
  <w:num w:numId="21" w16cid:durableId="1031035851">
    <w:abstractNumId w:val="12"/>
  </w:num>
  <w:num w:numId="22" w16cid:durableId="1402945545">
    <w:abstractNumId w:val="33"/>
  </w:num>
  <w:num w:numId="23" w16cid:durableId="1667248783">
    <w:abstractNumId w:val="18"/>
  </w:num>
  <w:num w:numId="24" w16cid:durableId="1353453069">
    <w:abstractNumId w:val="23"/>
  </w:num>
  <w:num w:numId="25" w16cid:durableId="592667723">
    <w:abstractNumId w:val="14"/>
  </w:num>
  <w:num w:numId="26" w16cid:durableId="37707020">
    <w:abstractNumId w:val="34"/>
  </w:num>
  <w:num w:numId="27" w16cid:durableId="162087179">
    <w:abstractNumId w:val="9"/>
  </w:num>
  <w:num w:numId="28" w16cid:durableId="1955359617">
    <w:abstractNumId w:val="8"/>
  </w:num>
  <w:num w:numId="29" w16cid:durableId="2025740696">
    <w:abstractNumId w:val="7"/>
  </w:num>
  <w:num w:numId="30" w16cid:durableId="439375354">
    <w:abstractNumId w:val="6"/>
  </w:num>
  <w:num w:numId="31" w16cid:durableId="2034837902">
    <w:abstractNumId w:val="5"/>
  </w:num>
  <w:num w:numId="32" w16cid:durableId="765544091">
    <w:abstractNumId w:val="4"/>
  </w:num>
  <w:num w:numId="33" w16cid:durableId="1249462447">
    <w:abstractNumId w:val="3"/>
  </w:num>
  <w:num w:numId="34" w16cid:durableId="790055611">
    <w:abstractNumId w:val="2"/>
  </w:num>
  <w:num w:numId="35" w16cid:durableId="913585048">
    <w:abstractNumId w:val="1"/>
  </w:num>
  <w:num w:numId="36" w16cid:durableId="1728189480">
    <w:abstractNumId w:val="0"/>
  </w:num>
  <w:num w:numId="37" w16cid:durableId="1370304610">
    <w:abstractNumId w:val="36"/>
  </w:num>
  <w:num w:numId="38" w16cid:durableId="1152941978">
    <w:abstractNumId w:val="21"/>
  </w:num>
  <w:num w:numId="39" w16cid:durableId="2006741231">
    <w:abstractNumId w:val="24"/>
  </w:num>
  <w:num w:numId="40" w16cid:durableId="472901">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2791"/>
    <w:rsid w:val="00025250"/>
    <w:rsid w:val="000314D7"/>
    <w:rsid w:val="00034054"/>
    <w:rsid w:val="0004184E"/>
    <w:rsid w:val="00045F8B"/>
    <w:rsid w:val="00046D2B"/>
    <w:rsid w:val="00056263"/>
    <w:rsid w:val="0005665E"/>
    <w:rsid w:val="0006095C"/>
    <w:rsid w:val="00064D8A"/>
    <w:rsid w:val="00064F82"/>
    <w:rsid w:val="00066510"/>
    <w:rsid w:val="00077523"/>
    <w:rsid w:val="000B1DFC"/>
    <w:rsid w:val="000C089F"/>
    <w:rsid w:val="000C3928"/>
    <w:rsid w:val="000C5E8E"/>
    <w:rsid w:val="000E1998"/>
    <w:rsid w:val="000F4751"/>
    <w:rsid w:val="0010524C"/>
    <w:rsid w:val="00111FB1"/>
    <w:rsid w:val="00113418"/>
    <w:rsid w:val="00127CA2"/>
    <w:rsid w:val="001356F1"/>
    <w:rsid w:val="00136994"/>
    <w:rsid w:val="0014128E"/>
    <w:rsid w:val="00151888"/>
    <w:rsid w:val="00154095"/>
    <w:rsid w:val="00160564"/>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14B37"/>
    <w:rsid w:val="0021775D"/>
    <w:rsid w:val="002312EA"/>
    <w:rsid w:val="002329CF"/>
    <w:rsid w:val="00232F5B"/>
    <w:rsid w:val="00247C29"/>
    <w:rsid w:val="0025AE27"/>
    <w:rsid w:val="00260467"/>
    <w:rsid w:val="00261056"/>
    <w:rsid w:val="00263EA3"/>
    <w:rsid w:val="00284F85"/>
    <w:rsid w:val="002870C3"/>
    <w:rsid w:val="00290915"/>
    <w:rsid w:val="002A22E2"/>
    <w:rsid w:val="002B4E43"/>
    <w:rsid w:val="002B6836"/>
    <w:rsid w:val="002C64F7"/>
    <w:rsid w:val="002F41F2"/>
    <w:rsid w:val="00301BF3"/>
    <w:rsid w:val="0030208D"/>
    <w:rsid w:val="00323418"/>
    <w:rsid w:val="003357BF"/>
    <w:rsid w:val="00364FAD"/>
    <w:rsid w:val="0036738F"/>
    <w:rsid w:val="0036759C"/>
    <w:rsid w:val="00367AE5"/>
    <w:rsid w:val="00367D71"/>
    <w:rsid w:val="0038150A"/>
    <w:rsid w:val="003945A9"/>
    <w:rsid w:val="003B490C"/>
    <w:rsid w:val="003B6E75"/>
    <w:rsid w:val="003B7DA1"/>
    <w:rsid w:val="003D0379"/>
    <w:rsid w:val="003D2574"/>
    <w:rsid w:val="003D4C59"/>
    <w:rsid w:val="003F4267"/>
    <w:rsid w:val="00404032"/>
    <w:rsid w:val="004072AA"/>
    <w:rsid w:val="0040736F"/>
    <w:rsid w:val="00412C1F"/>
    <w:rsid w:val="00421CB2"/>
    <w:rsid w:val="004268B9"/>
    <w:rsid w:val="00426A99"/>
    <w:rsid w:val="00433341"/>
    <w:rsid w:val="00433B96"/>
    <w:rsid w:val="004440F1"/>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C2887"/>
    <w:rsid w:val="004D2626"/>
    <w:rsid w:val="004D6E26"/>
    <w:rsid w:val="004D77D3"/>
    <w:rsid w:val="004D78AE"/>
    <w:rsid w:val="004E2959"/>
    <w:rsid w:val="004F20EF"/>
    <w:rsid w:val="0050321C"/>
    <w:rsid w:val="00507ECC"/>
    <w:rsid w:val="00516043"/>
    <w:rsid w:val="00544663"/>
    <w:rsid w:val="0054712D"/>
    <w:rsid w:val="00547EF6"/>
    <w:rsid w:val="005570B5"/>
    <w:rsid w:val="00567E18"/>
    <w:rsid w:val="0057542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7068"/>
    <w:rsid w:val="00650811"/>
    <w:rsid w:val="00655339"/>
    <w:rsid w:val="00661D3E"/>
    <w:rsid w:val="006733E5"/>
    <w:rsid w:val="00692627"/>
    <w:rsid w:val="006969E7"/>
    <w:rsid w:val="006A3643"/>
    <w:rsid w:val="006B10C2"/>
    <w:rsid w:val="006B7611"/>
    <w:rsid w:val="006C2A29"/>
    <w:rsid w:val="006C64CF"/>
    <w:rsid w:val="006D17B1"/>
    <w:rsid w:val="006D4752"/>
    <w:rsid w:val="006D708A"/>
    <w:rsid w:val="006E14C1"/>
    <w:rsid w:val="006F0292"/>
    <w:rsid w:val="006F27FA"/>
    <w:rsid w:val="006F416B"/>
    <w:rsid w:val="006F519B"/>
    <w:rsid w:val="00704B70"/>
    <w:rsid w:val="00707E7F"/>
    <w:rsid w:val="00713675"/>
    <w:rsid w:val="00715823"/>
    <w:rsid w:val="0072449C"/>
    <w:rsid w:val="007253EF"/>
    <w:rsid w:val="00737B93"/>
    <w:rsid w:val="00745BF0"/>
    <w:rsid w:val="00751EA3"/>
    <w:rsid w:val="007615FE"/>
    <w:rsid w:val="0076655C"/>
    <w:rsid w:val="007742DC"/>
    <w:rsid w:val="00791437"/>
    <w:rsid w:val="007A46C6"/>
    <w:rsid w:val="007B0C2C"/>
    <w:rsid w:val="007B278E"/>
    <w:rsid w:val="007B5CA2"/>
    <w:rsid w:val="007C5C23"/>
    <w:rsid w:val="007D7667"/>
    <w:rsid w:val="007E2A26"/>
    <w:rsid w:val="007E367F"/>
    <w:rsid w:val="007F2348"/>
    <w:rsid w:val="007F4757"/>
    <w:rsid w:val="00803F07"/>
    <w:rsid w:val="0080749A"/>
    <w:rsid w:val="008176E8"/>
    <w:rsid w:val="00821FB8"/>
    <w:rsid w:val="00822ACD"/>
    <w:rsid w:val="008460C6"/>
    <w:rsid w:val="00855C66"/>
    <w:rsid w:val="00871EE4"/>
    <w:rsid w:val="00874861"/>
    <w:rsid w:val="008954DF"/>
    <w:rsid w:val="008B293F"/>
    <w:rsid w:val="008B2F59"/>
    <w:rsid w:val="008B7371"/>
    <w:rsid w:val="008D3DDB"/>
    <w:rsid w:val="008F3B04"/>
    <w:rsid w:val="008F573F"/>
    <w:rsid w:val="009034EC"/>
    <w:rsid w:val="00926C74"/>
    <w:rsid w:val="0093067A"/>
    <w:rsid w:val="00941C60"/>
    <w:rsid w:val="00941FD1"/>
    <w:rsid w:val="00950824"/>
    <w:rsid w:val="00966D42"/>
    <w:rsid w:val="00971689"/>
    <w:rsid w:val="0097170F"/>
    <w:rsid w:val="00973E90"/>
    <w:rsid w:val="00975B07"/>
    <w:rsid w:val="00980B4A"/>
    <w:rsid w:val="009B3E8A"/>
    <w:rsid w:val="009B48A7"/>
    <w:rsid w:val="009C024A"/>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919A8"/>
    <w:rsid w:val="00A92D8F"/>
    <w:rsid w:val="00AA53FD"/>
    <w:rsid w:val="00AB2988"/>
    <w:rsid w:val="00AB7999"/>
    <w:rsid w:val="00AD3292"/>
    <w:rsid w:val="00AE1684"/>
    <w:rsid w:val="00AE7AF0"/>
    <w:rsid w:val="00B500CA"/>
    <w:rsid w:val="00B63211"/>
    <w:rsid w:val="00B86314"/>
    <w:rsid w:val="00B863A4"/>
    <w:rsid w:val="00BA1C2E"/>
    <w:rsid w:val="00BC200B"/>
    <w:rsid w:val="00BC4756"/>
    <w:rsid w:val="00BC69A4"/>
    <w:rsid w:val="00BD59E9"/>
    <w:rsid w:val="00BD6181"/>
    <w:rsid w:val="00BE0680"/>
    <w:rsid w:val="00BE305F"/>
    <w:rsid w:val="00BE7BA3"/>
    <w:rsid w:val="00BF04EE"/>
    <w:rsid w:val="00BF5682"/>
    <w:rsid w:val="00BF7B09"/>
    <w:rsid w:val="00C05260"/>
    <w:rsid w:val="00C076B9"/>
    <w:rsid w:val="00C20A95"/>
    <w:rsid w:val="00C20F3A"/>
    <w:rsid w:val="00C2692F"/>
    <w:rsid w:val="00C27187"/>
    <w:rsid w:val="00C3207C"/>
    <w:rsid w:val="00C400E1"/>
    <w:rsid w:val="00C41187"/>
    <w:rsid w:val="00C413C9"/>
    <w:rsid w:val="00C63C31"/>
    <w:rsid w:val="00C757A0"/>
    <w:rsid w:val="00C760DE"/>
    <w:rsid w:val="00C82630"/>
    <w:rsid w:val="00C85B4E"/>
    <w:rsid w:val="00C907F7"/>
    <w:rsid w:val="00CA2103"/>
    <w:rsid w:val="00CB21E8"/>
    <w:rsid w:val="00CB6B99"/>
    <w:rsid w:val="00CE4C87"/>
    <w:rsid w:val="00CE544A"/>
    <w:rsid w:val="00D11E1C"/>
    <w:rsid w:val="00D160B0"/>
    <w:rsid w:val="00D17F94"/>
    <w:rsid w:val="00D223FC"/>
    <w:rsid w:val="00D26D1E"/>
    <w:rsid w:val="00D474CF"/>
    <w:rsid w:val="00D5547E"/>
    <w:rsid w:val="00D860E2"/>
    <w:rsid w:val="00D869A1"/>
    <w:rsid w:val="00DA413F"/>
    <w:rsid w:val="00DA4584"/>
    <w:rsid w:val="00DA614B"/>
    <w:rsid w:val="00DB54C3"/>
    <w:rsid w:val="00DB7AD7"/>
    <w:rsid w:val="00DC3060"/>
    <w:rsid w:val="00DC7F6D"/>
    <w:rsid w:val="00DE0FB2"/>
    <w:rsid w:val="00DF093E"/>
    <w:rsid w:val="00E01F42"/>
    <w:rsid w:val="00E206D6"/>
    <w:rsid w:val="00E32AD8"/>
    <w:rsid w:val="00E3366E"/>
    <w:rsid w:val="00E52086"/>
    <w:rsid w:val="00E543A6"/>
    <w:rsid w:val="00E60479"/>
    <w:rsid w:val="00E61D73"/>
    <w:rsid w:val="00E73684"/>
    <w:rsid w:val="00E818D6"/>
    <w:rsid w:val="00E84076"/>
    <w:rsid w:val="00E87F7A"/>
    <w:rsid w:val="00E94B3E"/>
    <w:rsid w:val="00E96BD7"/>
    <w:rsid w:val="00EA0DB1"/>
    <w:rsid w:val="00EA0EE9"/>
    <w:rsid w:val="00ED52CA"/>
    <w:rsid w:val="00ED5860"/>
    <w:rsid w:val="00EE35C9"/>
    <w:rsid w:val="00F05ECA"/>
    <w:rsid w:val="00F26E21"/>
    <w:rsid w:val="00F270DA"/>
    <w:rsid w:val="00F3566E"/>
    <w:rsid w:val="00F375FB"/>
    <w:rsid w:val="00F41AC1"/>
    <w:rsid w:val="00F4367A"/>
    <w:rsid w:val="00F445B1"/>
    <w:rsid w:val="00F45CD4"/>
    <w:rsid w:val="00F66DCA"/>
    <w:rsid w:val="00F73583"/>
    <w:rsid w:val="00F74F53"/>
    <w:rsid w:val="00F7606D"/>
    <w:rsid w:val="00F81670"/>
    <w:rsid w:val="00F82024"/>
    <w:rsid w:val="00F865A3"/>
    <w:rsid w:val="00F8683D"/>
    <w:rsid w:val="00F95BC9"/>
    <w:rsid w:val="00FA624C"/>
    <w:rsid w:val="00FB3B71"/>
    <w:rsid w:val="00FD0FAC"/>
    <w:rsid w:val="00FD1DFA"/>
    <w:rsid w:val="00FD4966"/>
    <w:rsid w:val="00FE57DC"/>
    <w:rsid w:val="00FF095A"/>
    <w:rsid w:val="0133659D"/>
    <w:rsid w:val="01C801FF"/>
    <w:rsid w:val="0241D04C"/>
    <w:rsid w:val="02498EFC"/>
    <w:rsid w:val="028C0B49"/>
    <w:rsid w:val="03AE9431"/>
    <w:rsid w:val="03B4D718"/>
    <w:rsid w:val="03D486E7"/>
    <w:rsid w:val="044410D3"/>
    <w:rsid w:val="04F9F287"/>
    <w:rsid w:val="05096B06"/>
    <w:rsid w:val="050D0CE5"/>
    <w:rsid w:val="051C0934"/>
    <w:rsid w:val="05B94C3D"/>
    <w:rsid w:val="073BE42E"/>
    <w:rsid w:val="074A3A29"/>
    <w:rsid w:val="076986C8"/>
    <w:rsid w:val="07C20F3A"/>
    <w:rsid w:val="07D434D5"/>
    <w:rsid w:val="07E71C30"/>
    <w:rsid w:val="08FE37C7"/>
    <w:rsid w:val="0902F1F7"/>
    <w:rsid w:val="093839A0"/>
    <w:rsid w:val="0949CE08"/>
    <w:rsid w:val="09596137"/>
    <w:rsid w:val="09659772"/>
    <w:rsid w:val="0A04C6F0"/>
    <w:rsid w:val="0A1E4DF3"/>
    <w:rsid w:val="0AB7D8CA"/>
    <w:rsid w:val="0AEAD29A"/>
    <w:rsid w:val="0B2DAADD"/>
    <w:rsid w:val="0B301879"/>
    <w:rsid w:val="0B851D73"/>
    <w:rsid w:val="0B89A7FD"/>
    <w:rsid w:val="0C12CD07"/>
    <w:rsid w:val="0C26BE06"/>
    <w:rsid w:val="0CDB9458"/>
    <w:rsid w:val="0D1E7520"/>
    <w:rsid w:val="0D9C9208"/>
    <w:rsid w:val="0DE49577"/>
    <w:rsid w:val="0DECB077"/>
    <w:rsid w:val="0DF4C7CE"/>
    <w:rsid w:val="0E137018"/>
    <w:rsid w:val="0ECD8498"/>
    <w:rsid w:val="0FA931E6"/>
    <w:rsid w:val="0FB9297F"/>
    <w:rsid w:val="1034518A"/>
    <w:rsid w:val="10366A18"/>
    <w:rsid w:val="105BA84F"/>
    <w:rsid w:val="10C692CA"/>
    <w:rsid w:val="118D2D91"/>
    <w:rsid w:val="11AD4270"/>
    <w:rsid w:val="11DE2519"/>
    <w:rsid w:val="123D4452"/>
    <w:rsid w:val="125C3D11"/>
    <w:rsid w:val="12874878"/>
    <w:rsid w:val="1294D81D"/>
    <w:rsid w:val="132DC5BC"/>
    <w:rsid w:val="1354AE25"/>
    <w:rsid w:val="14816A3E"/>
    <w:rsid w:val="1482B680"/>
    <w:rsid w:val="1489D7DB"/>
    <w:rsid w:val="14AF0897"/>
    <w:rsid w:val="150E6135"/>
    <w:rsid w:val="157C1242"/>
    <w:rsid w:val="15CEDDE2"/>
    <w:rsid w:val="1605D907"/>
    <w:rsid w:val="164B6211"/>
    <w:rsid w:val="169B84D0"/>
    <w:rsid w:val="16C788FA"/>
    <w:rsid w:val="1702B9AE"/>
    <w:rsid w:val="1710C6A9"/>
    <w:rsid w:val="1814E7EC"/>
    <w:rsid w:val="1825BFC1"/>
    <w:rsid w:val="186B184E"/>
    <w:rsid w:val="187CEEE6"/>
    <w:rsid w:val="18B12936"/>
    <w:rsid w:val="18E055E4"/>
    <w:rsid w:val="1A63E71A"/>
    <w:rsid w:val="1ADE0E0A"/>
    <w:rsid w:val="1AE7D09C"/>
    <w:rsid w:val="1AED4C76"/>
    <w:rsid w:val="1B1388FD"/>
    <w:rsid w:val="1B33A70A"/>
    <w:rsid w:val="1B4BBF84"/>
    <w:rsid w:val="1BC0B843"/>
    <w:rsid w:val="1BCED1B9"/>
    <w:rsid w:val="1BDE6ACD"/>
    <w:rsid w:val="1C62DB68"/>
    <w:rsid w:val="1D2487C6"/>
    <w:rsid w:val="1D721377"/>
    <w:rsid w:val="1DA09760"/>
    <w:rsid w:val="1E2AA5CE"/>
    <w:rsid w:val="1F3AF5E1"/>
    <w:rsid w:val="1FD72DEA"/>
    <w:rsid w:val="1FF9AFF9"/>
    <w:rsid w:val="20142905"/>
    <w:rsid w:val="226EDA80"/>
    <w:rsid w:val="22F0553C"/>
    <w:rsid w:val="236E1BDC"/>
    <w:rsid w:val="238A6E87"/>
    <w:rsid w:val="23CC5368"/>
    <w:rsid w:val="248B0B55"/>
    <w:rsid w:val="24AA93AA"/>
    <w:rsid w:val="24E6842B"/>
    <w:rsid w:val="25C8DF4C"/>
    <w:rsid w:val="25F1C3DB"/>
    <w:rsid w:val="26295F60"/>
    <w:rsid w:val="268D72D3"/>
    <w:rsid w:val="27097B98"/>
    <w:rsid w:val="27395084"/>
    <w:rsid w:val="2752A45D"/>
    <w:rsid w:val="2784B419"/>
    <w:rsid w:val="278ACBEA"/>
    <w:rsid w:val="282ABB90"/>
    <w:rsid w:val="282C914F"/>
    <w:rsid w:val="285BE024"/>
    <w:rsid w:val="285CC5C7"/>
    <w:rsid w:val="2875A525"/>
    <w:rsid w:val="28AB18C7"/>
    <w:rsid w:val="29894939"/>
    <w:rsid w:val="29A12111"/>
    <w:rsid w:val="29FC2DCD"/>
    <w:rsid w:val="29FF0F46"/>
    <w:rsid w:val="2A40BB10"/>
    <w:rsid w:val="2A88CE9D"/>
    <w:rsid w:val="2AF76363"/>
    <w:rsid w:val="2B124847"/>
    <w:rsid w:val="2B2CB650"/>
    <w:rsid w:val="2B387E2E"/>
    <w:rsid w:val="2BEEFFFE"/>
    <w:rsid w:val="2C2420E6"/>
    <w:rsid w:val="2C4B3A3C"/>
    <w:rsid w:val="2C71A955"/>
    <w:rsid w:val="2C72A80D"/>
    <w:rsid w:val="2C9176E3"/>
    <w:rsid w:val="2D0EE0A4"/>
    <w:rsid w:val="2D48649C"/>
    <w:rsid w:val="2D6DDDEA"/>
    <w:rsid w:val="2DC2B855"/>
    <w:rsid w:val="2DD8F601"/>
    <w:rsid w:val="2EDAE15D"/>
    <w:rsid w:val="2F1C7194"/>
    <w:rsid w:val="2FA286CF"/>
    <w:rsid w:val="2FA7C79F"/>
    <w:rsid w:val="2FC26297"/>
    <w:rsid w:val="30239D24"/>
    <w:rsid w:val="306ABED7"/>
    <w:rsid w:val="3127A6B8"/>
    <w:rsid w:val="3192B2F1"/>
    <w:rsid w:val="3244785D"/>
    <w:rsid w:val="331BE041"/>
    <w:rsid w:val="3323D874"/>
    <w:rsid w:val="332CBE38"/>
    <w:rsid w:val="336C5F26"/>
    <w:rsid w:val="337E3B5D"/>
    <w:rsid w:val="33B912B2"/>
    <w:rsid w:val="33C8C2FF"/>
    <w:rsid w:val="3465F6B1"/>
    <w:rsid w:val="34A5386B"/>
    <w:rsid w:val="34C5ADE6"/>
    <w:rsid w:val="34ECE2A5"/>
    <w:rsid w:val="35643278"/>
    <w:rsid w:val="35644D51"/>
    <w:rsid w:val="35E68B5F"/>
    <w:rsid w:val="36225F1B"/>
    <w:rsid w:val="362C6082"/>
    <w:rsid w:val="371FCC3E"/>
    <w:rsid w:val="3742E73C"/>
    <w:rsid w:val="379DA924"/>
    <w:rsid w:val="37BED691"/>
    <w:rsid w:val="387F2688"/>
    <w:rsid w:val="38AEB1B4"/>
    <w:rsid w:val="38C4BD77"/>
    <w:rsid w:val="39099C12"/>
    <w:rsid w:val="390F01E6"/>
    <w:rsid w:val="391BC061"/>
    <w:rsid w:val="39537015"/>
    <w:rsid w:val="39A0E1B5"/>
    <w:rsid w:val="3A028991"/>
    <w:rsid w:val="3A1580BC"/>
    <w:rsid w:val="3B3AE817"/>
    <w:rsid w:val="3B76197D"/>
    <w:rsid w:val="3B7D829A"/>
    <w:rsid w:val="3BB135E7"/>
    <w:rsid w:val="3BB43EC8"/>
    <w:rsid w:val="3C461787"/>
    <w:rsid w:val="3C9559B9"/>
    <w:rsid w:val="3CAAFDE3"/>
    <w:rsid w:val="3CCB96CA"/>
    <w:rsid w:val="3CF7193A"/>
    <w:rsid w:val="3D0BBB33"/>
    <w:rsid w:val="3D593E76"/>
    <w:rsid w:val="3D75EE1D"/>
    <w:rsid w:val="3DC241BD"/>
    <w:rsid w:val="3E7F2F39"/>
    <w:rsid w:val="3EB8AC34"/>
    <w:rsid w:val="403EC15E"/>
    <w:rsid w:val="40B29FC2"/>
    <w:rsid w:val="4165F553"/>
    <w:rsid w:val="416CD8D0"/>
    <w:rsid w:val="41D43DF1"/>
    <w:rsid w:val="42B5F42A"/>
    <w:rsid w:val="42F0F996"/>
    <w:rsid w:val="42FE699D"/>
    <w:rsid w:val="431C3BF6"/>
    <w:rsid w:val="43547BDE"/>
    <w:rsid w:val="435A923F"/>
    <w:rsid w:val="43C212A4"/>
    <w:rsid w:val="43F42839"/>
    <w:rsid w:val="4459ECAE"/>
    <w:rsid w:val="45766303"/>
    <w:rsid w:val="4672B6F2"/>
    <w:rsid w:val="46BA6463"/>
    <w:rsid w:val="47265693"/>
    <w:rsid w:val="47BA2103"/>
    <w:rsid w:val="48DFE306"/>
    <w:rsid w:val="493399BA"/>
    <w:rsid w:val="49780970"/>
    <w:rsid w:val="4986DE6F"/>
    <w:rsid w:val="49EA528E"/>
    <w:rsid w:val="4A3B96BC"/>
    <w:rsid w:val="4A5FC541"/>
    <w:rsid w:val="4AB9FFD9"/>
    <w:rsid w:val="4AC09513"/>
    <w:rsid w:val="4B127C67"/>
    <w:rsid w:val="4B7FCDFF"/>
    <w:rsid w:val="4BC67D47"/>
    <w:rsid w:val="4D948C26"/>
    <w:rsid w:val="4DA16264"/>
    <w:rsid w:val="4DC9D03A"/>
    <w:rsid w:val="4DC9FD09"/>
    <w:rsid w:val="4DF06A9C"/>
    <w:rsid w:val="4EBBC884"/>
    <w:rsid w:val="4EF0B460"/>
    <w:rsid w:val="4F92A86B"/>
    <w:rsid w:val="4FC83E88"/>
    <w:rsid w:val="502689BA"/>
    <w:rsid w:val="503AF5C4"/>
    <w:rsid w:val="5064B2EA"/>
    <w:rsid w:val="506F3B56"/>
    <w:rsid w:val="5091A0A3"/>
    <w:rsid w:val="50BE60BE"/>
    <w:rsid w:val="51049B70"/>
    <w:rsid w:val="51884279"/>
    <w:rsid w:val="51F49227"/>
    <w:rsid w:val="52141FE7"/>
    <w:rsid w:val="52DC93E4"/>
    <w:rsid w:val="530E7F80"/>
    <w:rsid w:val="53124442"/>
    <w:rsid w:val="5349EC22"/>
    <w:rsid w:val="543F2DFA"/>
    <w:rsid w:val="5495C384"/>
    <w:rsid w:val="54AF8D07"/>
    <w:rsid w:val="54BD7E5A"/>
    <w:rsid w:val="562DCFA1"/>
    <w:rsid w:val="568C87E6"/>
    <w:rsid w:val="56C64D85"/>
    <w:rsid w:val="56DA4883"/>
    <w:rsid w:val="571C62E4"/>
    <w:rsid w:val="5758BBD8"/>
    <w:rsid w:val="57B31C88"/>
    <w:rsid w:val="588ADEB4"/>
    <w:rsid w:val="58C16BAB"/>
    <w:rsid w:val="58E0668C"/>
    <w:rsid w:val="59075083"/>
    <w:rsid w:val="5919DB91"/>
    <w:rsid w:val="592ACF03"/>
    <w:rsid w:val="59480F79"/>
    <w:rsid w:val="59596F6F"/>
    <w:rsid w:val="59CD73A6"/>
    <w:rsid w:val="5A77A813"/>
    <w:rsid w:val="5AA2CD80"/>
    <w:rsid w:val="5AAEBE06"/>
    <w:rsid w:val="5C2301F2"/>
    <w:rsid w:val="5C2590DE"/>
    <w:rsid w:val="5CD2A867"/>
    <w:rsid w:val="5CE77859"/>
    <w:rsid w:val="5CFD7058"/>
    <w:rsid w:val="5D0EC0A9"/>
    <w:rsid w:val="5D1E9E55"/>
    <w:rsid w:val="5D6EE46E"/>
    <w:rsid w:val="5D979AAE"/>
    <w:rsid w:val="5D9A6499"/>
    <w:rsid w:val="5DE62121"/>
    <w:rsid w:val="5E89B88C"/>
    <w:rsid w:val="5F58ACA6"/>
    <w:rsid w:val="5FB791F8"/>
    <w:rsid w:val="60B35EF8"/>
    <w:rsid w:val="613D2893"/>
    <w:rsid w:val="617A5513"/>
    <w:rsid w:val="61A2B901"/>
    <w:rsid w:val="61CA6484"/>
    <w:rsid w:val="6287E9CA"/>
    <w:rsid w:val="6288F8B8"/>
    <w:rsid w:val="62B73EE3"/>
    <w:rsid w:val="62CA7475"/>
    <w:rsid w:val="62CBD19C"/>
    <w:rsid w:val="636BDC7A"/>
    <w:rsid w:val="6431E6BA"/>
    <w:rsid w:val="64D5CF75"/>
    <w:rsid w:val="64EB0D2F"/>
    <w:rsid w:val="65B3457E"/>
    <w:rsid w:val="65D64D47"/>
    <w:rsid w:val="65DCCB80"/>
    <w:rsid w:val="670D758C"/>
    <w:rsid w:val="67CDC7E2"/>
    <w:rsid w:val="685FA352"/>
    <w:rsid w:val="68B48D71"/>
    <w:rsid w:val="698A502B"/>
    <w:rsid w:val="69D74F58"/>
    <w:rsid w:val="6A63EBE7"/>
    <w:rsid w:val="6B0534A5"/>
    <w:rsid w:val="6B0AF168"/>
    <w:rsid w:val="6B31B6EA"/>
    <w:rsid w:val="6B43D584"/>
    <w:rsid w:val="6BBB3BA8"/>
    <w:rsid w:val="6BFBC2A1"/>
    <w:rsid w:val="6C0D8FC0"/>
    <w:rsid w:val="6CBA225F"/>
    <w:rsid w:val="6D3514E5"/>
    <w:rsid w:val="6DA1B9B7"/>
    <w:rsid w:val="6DCFFBD0"/>
    <w:rsid w:val="6DF696BB"/>
    <w:rsid w:val="6ECA3545"/>
    <w:rsid w:val="6F300722"/>
    <w:rsid w:val="6F685E93"/>
    <w:rsid w:val="6FB726A9"/>
    <w:rsid w:val="700D2009"/>
    <w:rsid w:val="70637C74"/>
    <w:rsid w:val="7073C01E"/>
    <w:rsid w:val="70F8304B"/>
    <w:rsid w:val="711705A9"/>
    <w:rsid w:val="7180449E"/>
    <w:rsid w:val="71B2A09C"/>
    <w:rsid w:val="71F85473"/>
    <w:rsid w:val="726CA27D"/>
    <w:rsid w:val="7276546A"/>
    <w:rsid w:val="72889333"/>
    <w:rsid w:val="73269660"/>
    <w:rsid w:val="739C2F0C"/>
    <w:rsid w:val="73A4F17C"/>
    <w:rsid w:val="73D98CBC"/>
    <w:rsid w:val="73DB54A1"/>
    <w:rsid w:val="73E75AE8"/>
    <w:rsid w:val="74BA392D"/>
    <w:rsid w:val="75E01BB2"/>
    <w:rsid w:val="7674D54A"/>
    <w:rsid w:val="7697422E"/>
    <w:rsid w:val="76D8CABF"/>
    <w:rsid w:val="77912D87"/>
    <w:rsid w:val="77F3A13C"/>
    <w:rsid w:val="77FF708B"/>
    <w:rsid w:val="7809D976"/>
    <w:rsid w:val="788AE8D8"/>
    <w:rsid w:val="78FBADE4"/>
    <w:rsid w:val="79671E36"/>
    <w:rsid w:val="79BCDFFA"/>
    <w:rsid w:val="7AE4894C"/>
    <w:rsid w:val="7B80A8EF"/>
    <w:rsid w:val="7BA52D72"/>
    <w:rsid w:val="7C782913"/>
    <w:rsid w:val="7C8B304C"/>
    <w:rsid w:val="7CCCE7B4"/>
    <w:rsid w:val="7CD5D0B5"/>
    <w:rsid w:val="7D30E49F"/>
    <w:rsid w:val="7DD0561F"/>
    <w:rsid w:val="7EFDE80D"/>
    <w:rsid w:val="7F03BE48"/>
    <w:rsid w:val="7F3A433D"/>
    <w:rsid w:val="7F5193FF"/>
    <w:rsid w:val="7FA0A472"/>
    <w:rsid w:val="7FDF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paragraph" w:styleId="Heading3">
    <w:name w:val="heading 3"/>
    <w:basedOn w:val="Normal"/>
    <w:next w:val="Normal"/>
    <w:uiPriority w:val="9"/>
    <w:unhideWhenUsed/>
    <w:qFormat/>
    <w:rsid w:val="41D43DF1"/>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9"/>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7"/>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6"/>
      </w:numPr>
    </w:pPr>
  </w:style>
  <w:style w:type="paragraph" w:customStyle="1" w:styleId="Bulletpoints">
    <w:name w:val="Bullet points"/>
    <w:basedOn w:val="Normal"/>
    <w:link w:val="BulletpointsChar"/>
    <w:qFormat/>
    <w:rsid w:val="005570B5"/>
    <w:pPr>
      <w:numPr>
        <w:numId w:val="18"/>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6"/>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3719</Characters>
  <Application>Microsoft Office Word</Application>
  <DocSecurity>0</DocSecurity>
  <Lines>30</Lines>
  <Paragraphs>8</Paragraphs>
  <ScaleCrop>false</ScaleCrop>
  <Company>Oxford City Council</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6</cp:revision>
  <cp:lastPrinted>2015-07-03T13:50:00Z</cp:lastPrinted>
  <dcterms:created xsi:type="dcterms:W3CDTF">2025-05-07T17:20:00Z</dcterms:created>
  <dcterms:modified xsi:type="dcterms:W3CDTF">2025-06-30T07:42:00Z</dcterms:modified>
  <cp:category>Report to Council or Committee</cp:category>
</cp:coreProperties>
</file>